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3F7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ind w:left="0" w:right="0"/>
      </w:pPr>
      <w:r>
        <w:rPr>
          <w:bdr w:val="none" w:color="auto" w:sz="0" w:space="0"/>
        </w:rPr>
        <w:t> </w:t>
      </w:r>
    </w:p>
    <w:p w14:paraId="6636BC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20"/>
        <w:jc w:val="center"/>
      </w:pPr>
      <w:r>
        <w:rPr>
          <w:bdr w:val="none" w:color="auto" w:sz="0" w:space="0"/>
        </w:rPr>
        <w:t> </w:t>
      </w:r>
    </w:p>
    <w:p w14:paraId="25E0451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20"/>
        <w:jc w:val="center"/>
      </w:pPr>
      <w:r>
        <w:rPr>
          <w:bdr w:val="none" w:color="auto" w:sz="0" w:space="0"/>
        </w:rPr>
        <w:t> </w:t>
      </w:r>
    </w:p>
    <w:p w14:paraId="20A25C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ascii="Arial" w:hAnsi="Arial" w:cs="Arial"/>
          <w:b/>
          <w:bCs/>
          <w:color w:val="000000"/>
          <w:sz w:val="36"/>
          <w:szCs w:val="36"/>
        </w:rPr>
        <w:t xml:space="preserve">【        </w:t>
      </w:r>
      <w:r>
        <w:rPr>
          <w:rFonts w:hint="default" w:ascii="Arial" w:hAnsi="Arial" w:cs="Arial"/>
          <w:b/>
          <w:bCs/>
          <w:color w:val="000000"/>
          <w:sz w:val="36"/>
          <w:szCs w:val="36"/>
        </w:rPr>
        <w:t>光伏基地项目】</w:t>
      </w:r>
    </w:p>
    <w:p w14:paraId="415BF3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Arial" w:hAnsi="Arial" w:cs="Arial"/>
          <w:b/>
          <w:bCs/>
          <w:color w:val="000000"/>
          <w:sz w:val="36"/>
          <w:szCs w:val="36"/>
        </w:rPr>
        <w:t>EPC总承包合同</w:t>
      </w:r>
    </w:p>
    <w:p w14:paraId="534121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897"/>
        <w:jc w:val="both"/>
      </w:pPr>
      <w:r>
        <w:rPr>
          <w:bdr w:val="none" w:color="auto" w:sz="0" w:space="0"/>
        </w:rPr>
        <w:t> </w:t>
      </w:r>
      <w:bookmarkStart w:id="1169" w:name="_GoBack"/>
      <w:bookmarkEnd w:id="1169"/>
    </w:p>
    <w:p w14:paraId="54FA73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6BD1BD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086E58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3CF41F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54E685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5E9DF7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33651A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p w14:paraId="75988DF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400"/>
      </w:pPr>
      <w:r>
        <w:rPr>
          <w:rFonts w:hint="default" w:ascii="Arial" w:hAnsi="Arial" w:cs="Arial"/>
          <w:color w:val="000000"/>
          <w:sz w:val="28"/>
          <w:szCs w:val="28"/>
        </w:rPr>
        <w:t>甲方（发包人）：</w:t>
      </w:r>
    </w:p>
    <w:p w14:paraId="6A619EB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400"/>
      </w:pPr>
      <w:r>
        <w:rPr>
          <w:rFonts w:hint="default" w:ascii="Arial" w:hAnsi="Arial" w:cs="Arial"/>
          <w:color w:val="000000"/>
          <w:sz w:val="28"/>
          <w:szCs w:val="28"/>
        </w:rPr>
        <w:t>乙方（承包人）：</w:t>
      </w:r>
    </w:p>
    <w:p w14:paraId="1FFCD0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400"/>
      </w:pPr>
      <w:r>
        <w:rPr>
          <w:rFonts w:hint="default" w:ascii="Arial" w:hAnsi="Arial" w:cs="Arial"/>
          <w:color w:val="000000"/>
          <w:sz w:val="28"/>
          <w:szCs w:val="28"/>
        </w:rPr>
        <w:t xml:space="preserve">甲方（发包人）合同编号：                   </w:t>
      </w:r>
    </w:p>
    <w:p w14:paraId="0316B76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400"/>
      </w:pPr>
      <w:r>
        <w:rPr>
          <w:rFonts w:hint="default" w:ascii="Arial" w:hAnsi="Arial" w:cs="Arial"/>
          <w:color w:val="000000"/>
          <w:sz w:val="28"/>
          <w:szCs w:val="28"/>
        </w:rPr>
        <w:t xml:space="preserve">乙方（发包人）合同编号：                     </w:t>
      </w:r>
    </w:p>
    <w:p w14:paraId="4A18CB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400"/>
      </w:pPr>
      <w:r>
        <w:rPr>
          <w:rFonts w:hint="default" w:ascii="Arial" w:hAnsi="Arial" w:cs="Arial"/>
          <w:color w:val="000000"/>
          <w:sz w:val="28"/>
          <w:szCs w:val="28"/>
        </w:rPr>
        <w:t>签订日期：</w:t>
      </w:r>
    </w:p>
    <w:p w14:paraId="0997A4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400"/>
      </w:pPr>
      <w:r>
        <w:rPr>
          <w:rFonts w:hint="default" w:ascii="Arial" w:hAnsi="Arial" w:cs="Arial"/>
          <w:color w:val="000000"/>
          <w:sz w:val="28"/>
          <w:szCs w:val="28"/>
        </w:rPr>
        <w:t>签订地点：山西省太原市小店区</w:t>
      </w:r>
    </w:p>
    <w:p w14:paraId="6C3556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both"/>
      </w:pPr>
      <w:r>
        <w:rPr>
          <w:bdr w:val="none" w:color="auto" w:sz="0" w:space="0"/>
        </w:rPr>
        <w:t> </w:t>
      </w:r>
    </w:p>
    <w:p w14:paraId="5EF95FD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bdr w:val="none" w:color="auto" w:sz="0" w:space="0"/>
        </w:rPr>
        <w:t> </w:t>
      </w:r>
    </w:p>
    <w:p w14:paraId="5683B6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32"/>
          <w:szCs w:val="32"/>
        </w:rPr>
        <w:t>目录</w:t>
      </w:r>
    </w:p>
    <w:p w14:paraId="4538C7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364221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467A076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"_Toc25065_WPSOffice_Level1" </w:instrText>
      </w:r>
      <w:r>
        <w:rPr>
          <w:bdr w:val="none" w:color="auto" w:sz="0" w:space="0"/>
        </w:rPr>
        <w:fldChar w:fldCharType="separate"/>
      </w:r>
      <w:r>
        <w:rPr>
          <w:rStyle w:val="5"/>
          <w:rFonts w:hint="eastAsia" w:ascii="宋体" w:hAnsi="宋体" w:eastAsia="宋体" w:cs="宋体"/>
          <w:color w:val="000000"/>
          <w:sz w:val="20"/>
          <w:szCs w:val="20"/>
        </w:rPr>
        <w:t>合同协议书</w:t>
      </w:r>
      <w:r>
        <w:rPr>
          <w:rStyle w:val="5"/>
          <w:rFonts w:hint="eastAsia" w:ascii="宋体" w:hAnsi="宋体" w:eastAsia="宋体" w:cs="宋体"/>
          <w:color w:val="000000"/>
          <w:sz w:val="20"/>
          <w:szCs w:val="20"/>
        </w:rPr>
        <w:tab/>
      </w:r>
      <w:bookmarkStart w:id="0" w:name="_Toc25065_WPSOffice_Level1Page"/>
      <w:r>
        <w:rPr>
          <w:rStyle w:val="5"/>
          <w:rFonts w:hint="eastAsia" w:ascii="宋体" w:hAnsi="宋体" w:eastAsia="宋体" w:cs="宋体"/>
          <w:color w:val="000000"/>
          <w:sz w:val="20"/>
          <w:szCs w:val="20"/>
        </w:rPr>
        <w:t>1</w:t>
      </w:r>
      <w:bookmarkEnd w:id="0"/>
      <w:r>
        <w:rPr>
          <w:bdr w:val="none" w:color="auto" w:sz="0" w:space="0"/>
        </w:rPr>
        <w:fldChar w:fldCharType="end"/>
      </w:r>
    </w:p>
    <w:p w14:paraId="494DCF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"_Toc12782_WPSOffice_Level1" </w:instrText>
      </w:r>
      <w:r>
        <w:rPr>
          <w:bdr w:val="none" w:color="auto" w:sz="0" w:space="0"/>
        </w:rPr>
        <w:fldChar w:fldCharType="separate"/>
      </w:r>
      <w:r>
        <w:rPr>
          <w:rStyle w:val="5"/>
          <w:rFonts w:hint="eastAsia" w:ascii="宋体" w:hAnsi="宋体" w:eastAsia="宋体" w:cs="宋体"/>
          <w:color w:val="000000"/>
          <w:sz w:val="20"/>
          <w:szCs w:val="20"/>
        </w:rPr>
        <w:t>第一节  通用合同条款</w:t>
      </w:r>
      <w:r>
        <w:rPr>
          <w:rStyle w:val="5"/>
          <w:rFonts w:hint="eastAsia" w:ascii="宋体" w:hAnsi="宋体" w:eastAsia="宋体" w:cs="宋体"/>
          <w:color w:val="000000"/>
          <w:sz w:val="20"/>
          <w:szCs w:val="20"/>
        </w:rPr>
        <w:tab/>
        <w:t>8</w:t>
      </w:r>
      <w:r>
        <w:rPr>
          <w:bdr w:val="none" w:color="auto" w:sz="0" w:space="0"/>
        </w:rPr>
        <w:fldChar w:fldCharType="end"/>
      </w:r>
    </w:p>
    <w:p w14:paraId="5FA867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"_Toc18052_WPSOffice_Level1" </w:instrText>
      </w:r>
      <w:r>
        <w:rPr>
          <w:bdr w:val="none" w:color="auto" w:sz="0" w:space="0"/>
        </w:rPr>
        <w:fldChar w:fldCharType="separate"/>
      </w:r>
      <w:r>
        <w:rPr>
          <w:rStyle w:val="5"/>
          <w:rFonts w:hint="eastAsia" w:ascii="宋体" w:hAnsi="宋体" w:eastAsia="宋体" w:cs="宋体"/>
          <w:color w:val="000000"/>
          <w:sz w:val="20"/>
          <w:szCs w:val="20"/>
        </w:rPr>
        <w:t>第二节  专用合同条款</w:t>
      </w:r>
      <w:r>
        <w:rPr>
          <w:rStyle w:val="5"/>
          <w:rFonts w:hint="eastAsia" w:ascii="宋体" w:hAnsi="宋体" w:eastAsia="宋体" w:cs="宋体"/>
          <w:color w:val="000000"/>
          <w:sz w:val="20"/>
          <w:szCs w:val="20"/>
        </w:rPr>
        <w:tab/>
        <w:t>5</w:t>
      </w:r>
      <w:r>
        <w:rPr>
          <w:bdr w:val="none" w:color="auto" w:sz="0" w:space="0"/>
        </w:rPr>
        <w:fldChar w:fldCharType="end"/>
      </w:r>
      <w:r>
        <w:rPr>
          <w:rFonts w:hint="eastAsia" w:ascii="宋体" w:hAnsi="宋体" w:eastAsia="宋体" w:cs="宋体"/>
          <w:color w:val="000000"/>
          <w:sz w:val="20"/>
          <w:szCs w:val="20"/>
        </w:rPr>
        <w:t>7</w:t>
      </w:r>
    </w:p>
    <w:p w14:paraId="4C4548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"_Toc18052_WPSOffice_Level1" </w:instrText>
      </w:r>
      <w:r>
        <w:rPr>
          <w:bdr w:val="none" w:color="auto" w:sz="0" w:space="0"/>
        </w:rPr>
        <w:fldChar w:fldCharType="separate"/>
      </w:r>
      <w:r>
        <w:rPr>
          <w:rStyle w:val="5"/>
          <w:rFonts w:hint="eastAsia" w:ascii="宋体" w:hAnsi="宋体" w:eastAsia="宋体" w:cs="宋体"/>
          <w:color w:val="000000"/>
          <w:sz w:val="20"/>
          <w:szCs w:val="20"/>
        </w:rPr>
        <w:t>第三节  合同附件</w:t>
      </w:r>
      <w:r>
        <w:rPr>
          <w:rStyle w:val="5"/>
          <w:rFonts w:hint="eastAsia" w:ascii="宋体" w:hAnsi="宋体" w:eastAsia="宋体" w:cs="宋体"/>
          <w:color w:val="000000"/>
          <w:sz w:val="20"/>
          <w:szCs w:val="20"/>
        </w:rPr>
        <w:tab/>
      </w:r>
      <w:r>
        <w:rPr>
          <w:bdr w:val="none" w:color="auto" w:sz="0" w:space="0"/>
        </w:rPr>
        <w:fldChar w:fldCharType="end"/>
      </w:r>
      <w:r>
        <w:rPr>
          <w:rFonts w:hint="eastAsia" w:ascii="宋体" w:hAnsi="宋体" w:eastAsia="宋体" w:cs="宋体"/>
          <w:color w:val="000000"/>
          <w:sz w:val="20"/>
          <w:szCs w:val="20"/>
        </w:rPr>
        <w:t>83</w:t>
      </w:r>
      <w:r>
        <w:rPr>
          <w:bdr w:val="none" w:color="auto" w:sz="0" w:space="0"/>
        </w:rPr>
        <w:fldChar w:fldCharType="begin"/>
      </w:r>
      <w:r>
        <w:rPr>
          <w:bdr w:val="none" w:color="auto" w:sz="0" w:space="0"/>
        </w:rPr>
        <w:instrText xml:space="preserve"> HYPERLINK "" \l "_Toc21509_WPSOffice_Level1" </w:instrText>
      </w:r>
      <w:r>
        <w:rPr>
          <w:bdr w:val="none" w:color="auto" w:sz="0" w:space="0"/>
        </w:rPr>
        <w:fldChar w:fldCharType="separate"/>
      </w:r>
      <w:r>
        <w:rPr>
          <w:bdr w:val="none" w:color="auto" w:sz="0" w:space="0"/>
        </w:rPr>
        <w:fldChar w:fldCharType="end"/>
      </w:r>
    </w:p>
    <w:p w14:paraId="735D86CF">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 \l "_Toc21509_WPSOffice_Level1" </w:instrText>
      </w:r>
      <w:r>
        <w:rPr>
          <w:rFonts w:ascii="宋体" w:hAnsi="宋体" w:eastAsia="宋体" w:cs="宋体"/>
          <w:kern w:val="0"/>
          <w:sz w:val="24"/>
          <w:szCs w:val="24"/>
          <w:lang w:val="en-US" w:eastAsia="zh-CN" w:bidi="ar"/>
        </w:rPr>
        <w:fldChar w:fldCharType="separate"/>
      </w:r>
    </w:p>
    <w:p w14:paraId="51206E2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rStyle w:val="5"/>
          <w:rFonts w:hint="eastAsia" w:ascii="宋体" w:hAnsi="宋体" w:eastAsia="宋体" w:cs="宋体"/>
          <w:color w:val="000000"/>
          <w:sz w:val="20"/>
          <w:szCs w:val="20"/>
        </w:rPr>
        <w:t>附件一：合同协议书格式</w:t>
      </w:r>
      <w:r>
        <w:rPr>
          <w:rStyle w:val="5"/>
          <w:rFonts w:hint="eastAsia" w:ascii="宋体" w:hAnsi="宋体" w:eastAsia="宋体" w:cs="宋体"/>
          <w:color w:val="000000"/>
          <w:sz w:val="20"/>
          <w:szCs w:val="20"/>
        </w:rPr>
        <w:tab/>
      </w:r>
      <w:bookmarkStart w:id="1" w:name="_Toc21509_WPSOffice_Level1Page"/>
      <w:r>
        <w:rPr>
          <w:rStyle w:val="5"/>
          <w:rFonts w:hint="eastAsia" w:ascii="宋体" w:hAnsi="宋体" w:eastAsia="宋体" w:cs="宋体"/>
          <w:color w:val="000000"/>
          <w:sz w:val="20"/>
          <w:szCs w:val="20"/>
        </w:rPr>
        <w:t>8</w:t>
      </w:r>
      <w:bookmarkEnd w:id="1"/>
      <w:r>
        <w:rPr>
          <w:rStyle w:val="5"/>
          <w:rFonts w:hint="eastAsia" w:ascii="宋体" w:hAnsi="宋体" w:eastAsia="宋体" w:cs="宋体"/>
          <w:color w:val="000000"/>
          <w:sz w:val="20"/>
          <w:szCs w:val="20"/>
        </w:rPr>
        <w:t>3</w:t>
      </w:r>
    </w:p>
    <w:p w14:paraId="1733BDB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"_Toc32299_WPSOffice_Level1" </w:instrText>
      </w:r>
      <w:r>
        <w:rPr>
          <w:bdr w:val="none" w:color="auto" w:sz="0" w:space="0"/>
        </w:rPr>
        <w:fldChar w:fldCharType="separate"/>
      </w:r>
      <w:r>
        <w:rPr>
          <w:rStyle w:val="5"/>
          <w:rFonts w:hint="eastAsia" w:ascii="宋体" w:hAnsi="宋体" w:eastAsia="宋体" w:cs="宋体"/>
          <w:color w:val="000000"/>
          <w:sz w:val="20"/>
          <w:szCs w:val="20"/>
        </w:rPr>
        <w:t>附件二：履约保函格式</w:t>
      </w:r>
      <w:r>
        <w:rPr>
          <w:rStyle w:val="5"/>
          <w:rFonts w:hint="eastAsia" w:ascii="宋体" w:hAnsi="宋体" w:eastAsia="宋体" w:cs="宋体"/>
          <w:color w:val="000000"/>
          <w:sz w:val="20"/>
          <w:szCs w:val="20"/>
        </w:rPr>
        <w:tab/>
      </w:r>
      <w:bookmarkStart w:id="2" w:name="_Toc32299_WPSOffice_Level1Page"/>
      <w:r>
        <w:rPr>
          <w:rStyle w:val="5"/>
          <w:rFonts w:hint="eastAsia" w:ascii="宋体" w:hAnsi="宋体" w:eastAsia="宋体" w:cs="宋体"/>
          <w:color w:val="000000"/>
          <w:sz w:val="20"/>
          <w:szCs w:val="20"/>
        </w:rPr>
        <w:t>8</w:t>
      </w:r>
      <w:bookmarkEnd w:id="2"/>
      <w:r>
        <w:rPr>
          <w:rStyle w:val="5"/>
          <w:rFonts w:hint="eastAsia" w:ascii="宋体" w:hAnsi="宋体" w:eastAsia="宋体" w:cs="宋体"/>
          <w:color w:val="000000"/>
          <w:sz w:val="20"/>
          <w:szCs w:val="20"/>
        </w:rPr>
        <w:t>4</w:t>
      </w:r>
      <w:r>
        <w:rPr>
          <w:bdr w:val="none" w:color="auto" w:sz="0" w:space="0"/>
        </w:rPr>
        <w:fldChar w:fldCharType="end"/>
      </w:r>
    </w:p>
    <w:p w14:paraId="345934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"_Toc10861_WPSOffice_Level1" </w:instrText>
      </w:r>
      <w:r>
        <w:rPr>
          <w:bdr w:val="none" w:color="auto" w:sz="0" w:space="0"/>
        </w:rPr>
        <w:fldChar w:fldCharType="separate"/>
      </w:r>
      <w:r>
        <w:rPr>
          <w:rStyle w:val="5"/>
          <w:rFonts w:hint="eastAsia" w:ascii="宋体" w:hAnsi="宋体" w:eastAsia="宋体" w:cs="宋体"/>
          <w:color w:val="000000"/>
          <w:sz w:val="20"/>
          <w:szCs w:val="20"/>
        </w:rPr>
        <w:t>附件三：保密协议</w:t>
      </w:r>
      <w:r>
        <w:rPr>
          <w:rStyle w:val="5"/>
          <w:rFonts w:hint="eastAsia" w:ascii="宋体" w:hAnsi="宋体" w:eastAsia="宋体" w:cs="宋体"/>
          <w:color w:val="000000"/>
          <w:sz w:val="20"/>
          <w:szCs w:val="20"/>
        </w:rPr>
        <w:tab/>
      </w:r>
      <w:bookmarkStart w:id="3" w:name="_Toc10861_WPSOffice_Level1Page"/>
      <w:r>
        <w:rPr>
          <w:rStyle w:val="5"/>
          <w:rFonts w:hint="eastAsia" w:ascii="宋体" w:hAnsi="宋体" w:eastAsia="宋体" w:cs="宋体"/>
          <w:color w:val="000000"/>
          <w:sz w:val="20"/>
          <w:szCs w:val="20"/>
        </w:rPr>
        <w:t>8</w:t>
      </w:r>
      <w:bookmarkEnd w:id="3"/>
      <w:r>
        <w:rPr>
          <w:rStyle w:val="5"/>
          <w:rFonts w:hint="eastAsia" w:ascii="宋体" w:hAnsi="宋体" w:eastAsia="宋体" w:cs="宋体"/>
          <w:color w:val="000000"/>
          <w:sz w:val="20"/>
          <w:szCs w:val="20"/>
        </w:rPr>
        <w:t>6</w:t>
      </w:r>
      <w:r>
        <w:rPr>
          <w:bdr w:val="none" w:color="auto" w:sz="0" w:space="0"/>
        </w:rPr>
        <w:fldChar w:fldCharType="end"/>
      </w:r>
    </w:p>
    <w:p w14:paraId="6793D45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"_Toc32119_WPSOffice_Level1" </w:instrText>
      </w:r>
      <w:r>
        <w:rPr>
          <w:bdr w:val="none" w:color="auto" w:sz="0" w:space="0"/>
        </w:rPr>
        <w:fldChar w:fldCharType="separate"/>
      </w:r>
      <w:r>
        <w:rPr>
          <w:rStyle w:val="5"/>
          <w:rFonts w:hint="eastAsia" w:ascii="宋体" w:hAnsi="宋体" w:eastAsia="宋体" w:cs="宋体"/>
          <w:color w:val="000000"/>
          <w:sz w:val="20"/>
          <w:szCs w:val="20"/>
        </w:rPr>
        <w:t>附件四：施工安全生产协议</w:t>
      </w:r>
      <w:r>
        <w:rPr>
          <w:rStyle w:val="5"/>
          <w:rFonts w:hint="eastAsia" w:ascii="宋体" w:hAnsi="宋体" w:eastAsia="宋体" w:cs="宋体"/>
          <w:color w:val="000000"/>
          <w:sz w:val="20"/>
          <w:szCs w:val="20"/>
        </w:rPr>
        <w:tab/>
        <w:t>8</w:t>
      </w:r>
      <w:r>
        <w:rPr>
          <w:bdr w:val="none" w:color="auto" w:sz="0" w:space="0"/>
        </w:rPr>
        <w:fldChar w:fldCharType="end"/>
      </w:r>
      <w:r>
        <w:rPr>
          <w:rFonts w:hint="eastAsia" w:ascii="宋体" w:hAnsi="宋体" w:eastAsia="宋体" w:cs="宋体"/>
          <w:color w:val="000000"/>
          <w:sz w:val="20"/>
          <w:szCs w:val="20"/>
        </w:rPr>
        <w:t>9</w:t>
      </w:r>
    </w:p>
    <w:p w14:paraId="6574AD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"_Toc13593_WPSOffice_Level1" </w:instrText>
      </w:r>
      <w:r>
        <w:rPr>
          <w:bdr w:val="none" w:color="auto" w:sz="0" w:space="0"/>
        </w:rPr>
        <w:fldChar w:fldCharType="separate"/>
      </w:r>
      <w:r>
        <w:rPr>
          <w:rStyle w:val="5"/>
          <w:rFonts w:hint="eastAsia" w:ascii="宋体" w:hAnsi="宋体" w:eastAsia="宋体" w:cs="宋体"/>
          <w:color w:val="000000"/>
          <w:sz w:val="20"/>
          <w:szCs w:val="20"/>
        </w:rPr>
        <w:t>附件五：工程质量保修书</w:t>
      </w:r>
      <w:r>
        <w:rPr>
          <w:rStyle w:val="5"/>
          <w:rFonts w:hint="eastAsia" w:ascii="宋体" w:hAnsi="宋体" w:eastAsia="宋体" w:cs="宋体"/>
          <w:color w:val="000000"/>
          <w:sz w:val="20"/>
          <w:szCs w:val="20"/>
        </w:rPr>
        <w:tab/>
      </w:r>
      <w:bookmarkStart w:id="4" w:name="_Toc13593_WPSOffice_Level1Page"/>
      <w:r>
        <w:rPr>
          <w:rStyle w:val="5"/>
          <w:rFonts w:hint="eastAsia" w:ascii="宋体" w:hAnsi="宋体" w:eastAsia="宋体" w:cs="宋体"/>
          <w:color w:val="000000"/>
          <w:sz w:val="20"/>
          <w:szCs w:val="20"/>
        </w:rPr>
        <w:t>9</w:t>
      </w:r>
      <w:bookmarkEnd w:id="4"/>
      <w:r>
        <w:rPr>
          <w:rStyle w:val="5"/>
          <w:rFonts w:hint="eastAsia" w:ascii="宋体" w:hAnsi="宋体" w:eastAsia="宋体" w:cs="宋体"/>
          <w:color w:val="000000"/>
          <w:sz w:val="20"/>
          <w:szCs w:val="20"/>
        </w:rPr>
        <w:t>6</w:t>
      </w:r>
      <w:r>
        <w:rPr>
          <w:bdr w:val="none" w:color="auto" w:sz="0" w:space="0"/>
        </w:rPr>
        <w:fldChar w:fldCharType="end"/>
      </w:r>
    </w:p>
    <w:p w14:paraId="2E4802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"_Toc4964_WPSOffice_Level1" </w:instrText>
      </w:r>
      <w:r>
        <w:rPr>
          <w:bdr w:val="none" w:color="auto" w:sz="0" w:space="0"/>
        </w:rPr>
        <w:fldChar w:fldCharType="separate"/>
      </w:r>
      <w:r>
        <w:rPr>
          <w:rStyle w:val="5"/>
          <w:rFonts w:hint="eastAsia" w:ascii="宋体" w:hAnsi="宋体" w:eastAsia="宋体" w:cs="宋体"/>
          <w:color w:val="000000"/>
          <w:sz w:val="20"/>
          <w:szCs w:val="20"/>
        </w:rPr>
        <w:t>附件六：</w:t>
      </w:r>
      <w:r>
        <w:rPr>
          <w:rStyle w:val="5"/>
          <w:rFonts w:hint="default" w:ascii="Times New Roman" w:hAnsi="Times New Roman" w:cs="Times New Roman"/>
          <w:color w:val="000000"/>
          <w:sz w:val="20"/>
          <w:szCs w:val="20"/>
        </w:rPr>
        <w:t>农</w:t>
      </w:r>
      <w:r>
        <w:rPr>
          <w:rStyle w:val="5"/>
          <w:rFonts w:hint="eastAsia" w:ascii="宋体" w:hAnsi="宋体" w:eastAsia="宋体" w:cs="宋体"/>
          <w:color w:val="000000"/>
          <w:sz w:val="20"/>
          <w:szCs w:val="20"/>
        </w:rPr>
        <w:t>民工权益保障承诺书</w:t>
      </w:r>
      <w:r>
        <w:rPr>
          <w:rStyle w:val="5"/>
          <w:rFonts w:hint="eastAsia" w:ascii="宋体" w:hAnsi="宋体" w:eastAsia="宋体" w:cs="宋体"/>
          <w:color w:val="000000"/>
          <w:sz w:val="20"/>
          <w:szCs w:val="20"/>
        </w:rPr>
        <w:tab/>
      </w:r>
      <w:bookmarkStart w:id="5" w:name="_Toc4964_WPSOffice_Level1Page"/>
      <w:r>
        <w:rPr>
          <w:rStyle w:val="5"/>
          <w:rFonts w:hint="eastAsia" w:ascii="宋体" w:hAnsi="宋体" w:eastAsia="宋体" w:cs="宋体"/>
          <w:color w:val="000000"/>
          <w:sz w:val="20"/>
          <w:szCs w:val="20"/>
        </w:rPr>
        <w:t>98</w:t>
      </w:r>
      <w:bookmarkEnd w:id="5"/>
      <w:r>
        <w:rPr>
          <w:bdr w:val="none" w:color="auto" w:sz="0" w:space="0"/>
        </w:rPr>
        <w:fldChar w:fldCharType="end"/>
      </w:r>
    </w:p>
    <w:p w14:paraId="3D5B9E8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"_Toc25243_WPSOffice_Level1" </w:instrText>
      </w:r>
      <w:r>
        <w:rPr>
          <w:bdr w:val="none" w:color="auto" w:sz="0" w:space="0"/>
        </w:rPr>
        <w:fldChar w:fldCharType="separate"/>
      </w:r>
      <w:r>
        <w:rPr>
          <w:rStyle w:val="5"/>
          <w:rFonts w:hint="eastAsia" w:ascii="宋体" w:hAnsi="宋体" w:eastAsia="宋体" w:cs="宋体"/>
          <w:color w:val="000000"/>
          <w:sz w:val="20"/>
          <w:szCs w:val="20"/>
        </w:rPr>
        <w:t>附件七：廉洁协议</w:t>
      </w:r>
      <w:r>
        <w:rPr>
          <w:rStyle w:val="5"/>
          <w:rFonts w:hint="eastAsia" w:ascii="宋体" w:hAnsi="宋体" w:eastAsia="宋体" w:cs="宋体"/>
          <w:color w:val="000000"/>
          <w:sz w:val="20"/>
          <w:szCs w:val="20"/>
        </w:rPr>
        <w:tab/>
      </w:r>
      <w:bookmarkStart w:id="6" w:name="_Toc25243_WPSOffice_Level1Page"/>
      <w:r>
        <w:rPr>
          <w:rStyle w:val="5"/>
          <w:rFonts w:hint="eastAsia" w:ascii="宋体" w:hAnsi="宋体" w:eastAsia="宋体" w:cs="宋体"/>
          <w:color w:val="000000"/>
          <w:sz w:val="20"/>
          <w:szCs w:val="20"/>
        </w:rPr>
        <w:t>100</w:t>
      </w:r>
      <w:bookmarkEnd w:id="6"/>
      <w:r>
        <w:rPr>
          <w:bdr w:val="none" w:color="auto" w:sz="0" w:space="0"/>
        </w:rPr>
        <w:fldChar w:fldCharType="end"/>
      </w:r>
    </w:p>
    <w:p w14:paraId="6F8244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"_Toc2464_WPSOffice_Level1" </w:instrText>
      </w:r>
      <w:r>
        <w:rPr>
          <w:bdr w:val="none" w:color="auto" w:sz="0" w:space="0"/>
        </w:rPr>
        <w:fldChar w:fldCharType="separate"/>
      </w:r>
      <w:r>
        <w:rPr>
          <w:rStyle w:val="5"/>
          <w:rFonts w:hint="eastAsia" w:ascii="宋体" w:hAnsi="宋体" w:eastAsia="宋体" w:cs="宋体"/>
          <w:color w:val="000000"/>
          <w:sz w:val="20"/>
          <w:szCs w:val="20"/>
        </w:rPr>
        <w:t>附件八：发包人、承包人协调程序</w:t>
      </w:r>
      <w:r>
        <w:rPr>
          <w:rStyle w:val="5"/>
          <w:rFonts w:hint="eastAsia" w:ascii="宋体" w:hAnsi="宋体" w:eastAsia="宋体" w:cs="宋体"/>
          <w:color w:val="000000"/>
          <w:sz w:val="20"/>
          <w:szCs w:val="20"/>
        </w:rPr>
        <w:tab/>
      </w:r>
      <w:bookmarkStart w:id="7" w:name="_Toc2464_WPSOffice_Level1Page"/>
      <w:r>
        <w:rPr>
          <w:rStyle w:val="5"/>
          <w:rFonts w:hint="eastAsia" w:ascii="宋体" w:hAnsi="宋体" w:eastAsia="宋体" w:cs="宋体"/>
          <w:color w:val="000000"/>
          <w:sz w:val="20"/>
          <w:szCs w:val="20"/>
        </w:rPr>
        <w:t>103</w:t>
      </w:r>
      <w:bookmarkEnd w:id="7"/>
      <w:r>
        <w:rPr>
          <w:bdr w:val="none" w:color="auto" w:sz="0" w:space="0"/>
        </w:rPr>
        <w:fldChar w:fldCharType="end"/>
      </w:r>
    </w:p>
    <w:p w14:paraId="07178F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"_Toc7623_WPSOffice_Level1" </w:instrText>
      </w:r>
      <w:r>
        <w:rPr>
          <w:bdr w:val="none" w:color="auto" w:sz="0" w:space="0"/>
        </w:rPr>
        <w:fldChar w:fldCharType="separate"/>
      </w:r>
      <w:r>
        <w:rPr>
          <w:rStyle w:val="5"/>
          <w:rFonts w:hint="eastAsia" w:ascii="宋体" w:hAnsi="宋体" w:eastAsia="宋体" w:cs="宋体"/>
          <w:color w:val="000000"/>
          <w:sz w:val="20"/>
          <w:szCs w:val="20"/>
        </w:rPr>
        <w:t>附件九：合同价格表</w:t>
      </w:r>
      <w:r>
        <w:rPr>
          <w:rStyle w:val="5"/>
          <w:rFonts w:hint="eastAsia" w:ascii="宋体" w:hAnsi="宋体" w:eastAsia="宋体" w:cs="宋体"/>
          <w:color w:val="000000"/>
          <w:sz w:val="20"/>
          <w:szCs w:val="20"/>
        </w:rPr>
        <w:tab/>
      </w:r>
      <w:bookmarkStart w:id="8" w:name="_Toc7623_WPSOffice_Level1Page"/>
      <w:r>
        <w:rPr>
          <w:rStyle w:val="5"/>
          <w:rFonts w:hint="eastAsia" w:ascii="宋体" w:hAnsi="宋体" w:eastAsia="宋体" w:cs="宋体"/>
          <w:color w:val="000000"/>
          <w:sz w:val="20"/>
          <w:szCs w:val="20"/>
        </w:rPr>
        <w:t>128</w:t>
      </w:r>
      <w:bookmarkEnd w:id="8"/>
      <w:r>
        <w:rPr>
          <w:bdr w:val="none" w:color="auto" w:sz="0" w:space="0"/>
        </w:rPr>
        <w:fldChar w:fldCharType="end"/>
      </w:r>
    </w:p>
    <w:p w14:paraId="6D59E6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"_Toc12316_WPSOffice_Level1" </w:instrText>
      </w:r>
      <w:r>
        <w:rPr>
          <w:bdr w:val="none" w:color="auto" w:sz="0" w:space="0"/>
        </w:rPr>
        <w:fldChar w:fldCharType="separate"/>
      </w:r>
      <w:r>
        <w:rPr>
          <w:rStyle w:val="5"/>
          <w:rFonts w:hint="eastAsia" w:ascii="宋体" w:hAnsi="宋体" w:eastAsia="宋体" w:cs="宋体"/>
          <w:color w:val="000000"/>
          <w:sz w:val="20"/>
          <w:szCs w:val="20"/>
        </w:rPr>
        <w:t>附件十：设备及安装工程合同价格明细</w:t>
      </w:r>
      <w:r>
        <w:rPr>
          <w:rStyle w:val="5"/>
          <w:rFonts w:hint="eastAsia" w:ascii="宋体" w:hAnsi="宋体" w:eastAsia="宋体" w:cs="宋体"/>
          <w:color w:val="000000"/>
          <w:sz w:val="20"/>
          <w:szCs w:val="20"/>
        </w:rPr>
        <w:tab/>
      </w:r>
      <w:bookmarkStart w:id="9" w:name="_Toc12316_WPSOffice_Level1Page"/>
      <w:r>
        <w:rPr>
          <w:rStyle w:val="5"/>
          <w:rFonts w:hint="eastAsia" w:ascii="宋体" w:hAnsi="宋体" w:eastAsia="宋体" w:cs="宋体"/>
          <w:color w:val="000000"/>
          <w:sz w:val="20"/>
          <w:szCs w:val="20"/>
        </w:rPr>
        <w:t>1</w:t>
      </w:r>
      <w:bookmarkEnd w:id="9"/>
      <w:r>
        <w:rPr>
          <w:bdr w:val="none" w:color="auto" w:sz="0" w:space="0"/>
        </w:rPr>
        <w:fldChar w:fldCharType="end"/>
      </w:r>
      <w:r>
        <w:rPr>
          <w:rFonts w:hint="eastAsia" w:ascii="宋体" w:hAnsi="宋体" w:eastAsia="宋体" w:cs="宋体"/>
          <w:color w:val="000000"/>
          <w:sz w:val="20"/>
          <w:szCs w:val="20"/>
        </w:rPr>
        <w:t>29</w:t>
      </w:r>
    </w:p>
    <w:p w14:paraId="162904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"_Toc3443_WPSOffice_Level1" </w:instrText>
      </w:r>
      <w:r>
        <w:rPr>
          <w:bdr w:val="none" w:color="auto" w:sz="0" w:space="0"/>
        </w:rPr>
        <w:fldChar w:fldCharType="separate"/>
      </w:r>
      <w:r>
        <w:rPr>
          <w:rStyle w:val="5"/>
          <w:rFonts w:hint="eastAsia" w:ascii="宋体" w:hAnsi="宋体" w:eastAsia="宋体" w:cs="宋体"/>
          <w:color w:val="000000"/>
          <w:sz w:val="20"/>
          <w:szCs w:val="20"/>
        </w:rPr>
        <w:t>附件十一：建筑工程合同价格明细</w:t>
      </w:r>
      <w:r>
        <w:rPr>
          <w:rStyle w:val="5"/>
          <w:rFonts w:hint="eastAsia" w:ascii="宋体" w:hAnsi="宋体" w:eastAsia="宋体" w:cs="宋体"/>
          <w:color w:val="000000"/>
          <w:sz w:val="20"/>
          <w:szCs w:val="20"/>
        </w:rPr>
        <w:tab/>
      </w:r>
      <w:bookmarkStart w:id="10" w:name="_Toc3443_WPSOffice_Level1Page"/>
      <w:r>
        <w:rPr>
          <w:rStyle w:val="5"/>
          <w:rFonts w:hint="eastAsia" w:ascii="宋体" w:hAnsi="宋体" w:eastAsia="宋体" w:cs="宋体"/>
          <w:color w:val="000000"/>
          <w:sz w:val="20"/>
          <w:szCs w:val="20"/>
        </w:rPr>
        <w:t>1</w:t>
      </w:r>
      <w:bookmarkEnd w:id="10"/>
      <w:r>
        <w:rPr>
          <w:bdr w:val="none" w:color="auto" w:sz="0" w:space="0"/>
        </w:rPr>
        <w:fldChar w:fldCharType="end"/>
      </w:r>
      <w:r>
        <w:rPr>
          <w:rFonts w:hint="eastAsia" w:ascii="宋体" w:hAnsi="宋体" w:eastAsia="宋体" w:cs="宋体"/>
          <w:color w:val="000000"/>
          <w:sz w:val="20"/>
          <w:szCs w:val="20"/>
        </w:rPr>
        <w:t>41</w:t>
      </w:r>
    </w:p>
    <w:p w14:paraId="580E2D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"_Toc30298_WPSOffice_Level1" </w:instrText>
      </w:r>
      <w:r>
        <w:rPr>
          <w:bdr w:val="none" w:color="auto" w:sz="0" w:space="0"/>
        </w:rPr>
        <w:fldChar w:fldCharType="separate"/>
      </w:r>
      <w:r>
        <w:rPr>
          <w:rStyle w:val="5"/>
          <w:rFonts w:hint="eastAsia" w:ascii="宋体" w:hAnsi="宋体" w:eastAsia="宋体" w:cs="宋体"/>
          <w:color w:val="000000"/>
          <w:sz w:val="20"/>
          <w:szCs w:val="20"/>
        </w:rPr>
        <w:t>附件十二：其他费用合同价格明细</w:t>
      </w:r>
      <w:r>
        <w:rPr>
          <w:rStyle w:val="5"/>
          <w:rFonts w:hint="eastAsia" w:ascii="宋体" w:hAnsi="宋体" w:eastAsia="宋体" w:cs="宋体"/>
          <w:color w:val="000000"/>
          <w:sz w:val="20"/>
          <w:szCs w:val="20"/>
        </w:rPr>
        <w:tab/>
      </w:r>
      <w:bookmarkStart w:id="11" w:name="_Toc30298_WPSOffice_Level1Page"/>
      <w:r>
        <w:rPr>
          <w:rStyle w:val="5"/>
          <w:rFonts w:hint="eastAsia" w:ascii="宋体" w:hAnsi="宋体" w:eastAsia="宋体" w:cs="宋体"/>
          <w:color w:val="000000"/>
          <w:sz w:val="20"/>
          <w:szCs w:val="20"/>
        </w:rPr>
        <w:t>1</w:t>
      </w:r>
      <w:bookmarkEnd w:id="11"/>
      <w:r>
        <w:rPr>
          <w:bdr w:val="none" w:color="auto" w:sz="0" w:space="0"/>
        </w:rPr>
        <w:fldChar w:fldCharType="end"/>
      </w:r>
      <w:r>
        <w:rPr>
          <w:rFonts w:hint="eastAsia" w:ascii="宋体" w:hAnsi="宋体" w:eastAsia="宋体" w:cs="宋体"/>
          <w:color w:val="000000"/>
          <w:sz w:val="20"/>
          <w:szCs w:val="20"/>
        </w:rPr>
        <w:t>45</w:t>
      </w:r>
    </w:p>
    <w:p w14:paraId="65EC60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"_Toc16145_WPSOffice_Level1" </w:instrText>
      </w:r>
      <w:r>
        <w:rPr>
          <w:bdr w:val="none" w:color="auto" w:sz="0" w:space="0"/>
        </w:rPr>
        <w:fldChar w:fldCharType="separate"/>
      </w:r>
      <w:r>
        <w:rPr>
          <w:rStyle w:val="5"/>
          <w:rFonts w:hint="eastAsia" w:ascii="宋体" w:hAnsi="宋体" w:eastAsia="宋体" w:cs="宋体"/>
          <w:color w:val="000000"/>
          <w:sz w:val="20"/>
          <w:szCs w:val="20"/>
        </w:rPr>
        <w:t>附件十三：项目档案的收集、整理与归档要求</w:t>
      </w:r>
      <w:r>
        <w:rPr>
          <w:rStyle w:val="5"/>
          <w:rFonts w:hint="eastAsia" w:ascii="宋体" w:hAnsi="宋体" w:eastAsia="宋体" w:cs="宋体"/>
          <w:color w:val="000000"/>
          <w:sz w:val="20"/>
          <w:szCs w:val="20"/>
        </w:rPr>
        <w:tab/>
      </w:r>
      <w:bookmarkStart w:id="12" w:name="_Toc16145_WPSOffice_Level1Page"/>
      <w:r>
        <w:rPr>
          <w:rStyle w:val="5"/>
          <w:rFonts w:hint="eastAsia" w:ascii="宋体" w:hAnsi="宋体" w:eastAsia="宋体" w:cs="宋体"/>
          <w:color w:val="000000"/>
          <w:sz w:val="20"/>
          <w:szCs w:val="20"/>
        </w:rPr>
        <w:t>146</w:t>
      </w:r>
      <w:bookmarkEnd w:id="12"/>
      <w:r>
        <w:rPr>
          <w:bdr w:val="none" w:color="auto" w:sz="0" w:space="0"/>
        </w:rPr>
        <w:fldChar w:fldCharType="end"/>
      </w:r>
    </w:p>
    <w:p w14:paraId="6754B4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fldChar w:fldCharType="begin"/>
      </w:r>
      <w:r>
        <w:rPr>
          <w:bdr w:val="none" w:color="auto" w:sz="0" w:space="0"/>
        </w:rPr>
        <w:instrText xml:space="preserve"> HYPERLINK "" \l "_Toc2071_WPSOffice_Level1" </w:instrText>
      </w:r>
      <w:r>
        <w:rPr>
          <w:bdr w:val="none" w:color="auto" w:sz="0" w:space="0"/>
        </w:rPr>
        <w:fldChar w:fldCharType="separate"/>
      </w:r>
      <w:r>
        <w:rPr>
          <w:rStyle w:val="5"/>
          <w:rFonts w:hint="eastAsia" w:ascii="宋体" w:hAnsi="宋体" w:eastAsia="宋体" w:cs="宋体"/>
          <w:color w:val="000000"/>
          <w:sz w:val="20"/>
          <w:szCs w:val="20"/>
        </w:rPr>
        <w:t>第四节  技术文件</w:t>
      </w:r>
      <w:r>
        <w:rPr>
          <w:rStyle w:val="5"/>
          <w:rFonts w:hint="eastAsia" w:ascii="宋体" w:hAnsi="宋体" w:eastAsia="宋体" w:cs="宋体"/>
          <w:color w:val="000000"/>
          <w:sz w:val="20"/>
          <w:szCs w:val="20"/>
        </w:rPr>
        <w:tab/>
      </w:r>
      <w:bookmarkStart w:id="13" w:name="_Toc2071_WPSOffice_Level1Page"/>
      <w:r>
        <w:rPr>
          <w:rStyle w:val="5"/>
          <w:rFonts w:hint="eastAsia" w:ascii="宋体" w:hAnsi="宋体" w:eastAsia="宋体" w:cs="宋体"/>
          <w:color w:val="000000"/>
          <w:sz w:val="20"/>
          <w:szCs w:val="20"/>
        </w:rPr>
        <w:t>1</w:t>
      </w:r>
      <w:bookmarkEnd w:id="13"/>
      <w:r>
        <w:rPr>
          <w:rStyle w:val="5"/>
          <w:rFonts w:hint="eastAsia" w:ascii="宋体" w:hAnsi="宋体" w:eastAsia="宋体" w:cs="宋体"/>
          <w:color w:val="000000"/>
          <w:sz w:val="20"/>
          <w:szCs w:val="20"/>
        </w:rPr>
        <w:t>4</w:t>
      </w:r>
      <w:r>
        <w:rPr>
          <w:bdr w:val="none" w:color="auto" w:sz="0" w:space="0"/>
        </w:rPr>
        <w:fldChar w:fldCharType="end"/>
      </w:r>
      <w:r>
        <w:rPr>
          <w:rFonts w:hint="eastAsia" w:ascii="宋体" w:hAnsi="宋体" w:eastAsia="宋体" w:cs="宋体"/>
          <w:color w:val="000000"/>
          <w:sz w:val="20"/>
          <w:szCs w:val="20"/>
        </w:rPr>
        <w:t>7</w:t>
      </w:r>
    </w:p>
    <w:p w14:paraId="26D7A4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t> </w:t>
      </w:r>
    </w:p>
    <w:p w14:paraId="58B6AC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221"/>
        </w:tabs>
        <w:spacing w:before="0" w:beforeAutospacing="0" w:after="0" w:afterAutospacing="0" w:line="360" w:lineRule="auto"/>
      </w:pPr>
      <w:r>
        <w:rPr>
          <w:bdr w:val="none" w:color="auto" w:sz="0" w:space="0"/>
        </w:rPr>
        <w:t> </w:t>
      </w:r>
    </w:p>
    <w:p w14:paraId="1831B5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39435A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30A624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419DFB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508BF28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42ABD5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312" w:beforeAutospacing="0" w:after="312" w:afterAutospacing="0"/>
        <w:jc w:val="center"/>
      </w:pPr>
      <w:r>
        <w:rPr>
          <w:bdr w:val="none" w:color="auto" w:sz="0" w:space="0"/>
        </w:rPr>
        <w:t> </w:t>
      </w:r>
    </w:p>
    <w:p w14:paraId="4A9355C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312" w:beforeAutospacing="0" w:after="312" w:afterAutospacing="0"/>
        <w:jc w:val="both"/>
      </w:pPr>
      <w:r>
        <w:rPr>
          <w:bdr w:val="none" w:color="auto" w:sz="0" w:space="0"/>
        </w:rPr>
        <w:t> </w:t>
      </w:r>
    </w:p>
    <w:p w14:paraId="277E81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312" w:beforeAutospacing="0" w:after="312" w:afterAutospacing="0"/>
        <w:jc w:val="center"/>
      </w:pPr>
      <w:r>
        <w:rPr>
          <w:rFonts w:ascii="黑体" w:hAnsi="宋体" w:eastAsia="黑体" w:cs="黑体"/>
          <w:b/>
          <w:bCs/>
          <w:color w:val="000000"/>
          <w:sz w:val="32"/>
          <w:szCs w:val="32"/>
        </w:rPr>
        <w:t>合同协议书</w:t>
      </w:r>
    </w:p>
    <w:p w14:paraId="3E844AD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0"/>
      </w:pPr>
      <w:r>
        <w:rPr>
          <w:bdr w:val="none" w:color="auto" w:sz="0" w:space="0"/>
        </w:rPr>
        <w:t> </w:t>
      </w:r>
    </w:p>
    <w:p w14:paraId="15D835F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Arial" w:hAnsi="Arial" w:cs="Arial"/>
          <w:color w:val="000000"/>
          <w:sz w:val="24"/>
          <w:szCs w:val="24"/>
        </w:rPr>
        <w:t>发包人：</w:t>
      </w:r>
    </w:p>
    <w:p w14:paraId="4D9EA02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Arial" w:hAnsi="Arial" w:cs="Arial"/>
          <w:color w:val="000000"/>
          <w:sz w:val="24"/>
          <w:szCs w:val="24"/>
        </w:rPr>
        <w:t>统一社会信用代码：</w:t>
      </w:r>
    </w:p>
    <w:p w14:paraId="0A8C72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Arial" w:hAnsi="Arial" w:cs="Arial"/>
          <w:color w:val="000000"/>
          <w:sz w:val="24"/>
          <w:szCs w:val="24"/>
        </w:rPr>
        <w:t>承包人：</w:t>
      </w:r>
    </w:p>
    <w:p w14:paraId="44D5FD7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Arial" w:hAnsi="Arial" w:cs="Arial"/>
          <w:color w:val="000000"/>
          <w:sz w:val="24"/>
          <w:szCs w:val="24"/>
        </w:rPr>
        <w:t>统一社会信用代码：</w:t>
      </w:r>
    </w:p>
    <w:p w14:paraId="0B607E6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0"/>
      </w:pPr>
      <w:r>
        <w:rPr>
          <w:bdr w:val="none" w:color="auto" w:sz="0" w:space="0"/>
        </w:rPr>
        <w:t> </w:t>
      </w:r>
    </w:p>
    <w:p w14:paraId="7D5F24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Arial" w:hAnsi="Arial" w:cs="Arial"/>
          <w:color w:val="000000"/>
          <w:sz w:val="24"/>
          <w:szCs w:val="24"/>
        </w:rPr>
        <w:t>本EPC总承包合作协议由【   】有限公司（以下简称“发包人”）与【     】（“承包人”）商定并签署。</w:t>
      </w:r>
    </w:p>
    <w:p w14:paraId="23522A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依照《中华人民共和国民法典》《中华人民共和国建筑法》和《中华人民共和国招标投标法》等相关法律、行政法规，发包人经依法公开招标投标程序，就【</w:t>
      </w:r>
      <w:r>
        <w:rPr>
          <w:rFonts w:hint="eastAsia" w:ascii="宋体" w:hAnsi="宋体" w:eastAsia="宋体" w:cs="宋体"/>
          <w:color w:val="000000"/>
          <w:sz w:val="24"/>
          <w:szCs w:val="24"/>
        </w:rPr>
        <w:t>     光伏基地项目EPC总承包</w:t>
      </w:r>
      <w:r>
        <w:rPr>
          <w:rFonts w:hint="default" w:ascii="Arial" w:hAnsi="Arial" w:cs="Arial"/>
          <w:color w:val="000000"/>
          <w:sz w:val="24"/>
          <w:szCs w:val="24"/>
        </w:rPr>
        <w:t>】（以下简称“</w:t>
      </w:r>
      <w:r>
        <w:rPr>
          <w:rFonts w:hint="default" w:ascii="Arial" w:hAnsi="Arial" w:cs="Arial"/>
          <w:b/>
          <w:bCs/>
          <w:color w:val="000000"/>
          <w:sz w:val="24"/>
          <w:szCs w:val="24"/>
        </w:rPr>
        <w:t>本项目</w:t>
      </w:r>
      <w:r>
        <w:rPr>
          <w:rFonts w:hint="default" w:ascii="Arial" w:hAnsi="Arial" w:cs="Arial"/>
          <w:color w:val="000000"/>
          <w:sz w:val="24"/>
          <w:szCs w:val="24"/>
        </w:rPr>
        <w:t>”）选定【承包人名称】作为本项目EPC总承包人，并于【】年【】月【】日向承包人发送中标通知书。根据本项目招标文件、响应文件及中标通知书，遵循平等、自愿、公平和诚信原则，合同双方就【</w:t>
      </w:r>
      <w:r>
        <w:rPr>
          <w:rFonts w:hint="eastAsia" w:ascii="宋体" w:hAnsi="宋体" w:eastAsia="宋体" w:cs="宋体"/>
          <w:color w:val="000000"/>
          <w:sz w:val="24"/>
          <w:szCs w:val="24"/>
        </w:rPr>
        <w:t>     光伏基地项目EPC总承包</w:t>
      </w:r>
      <w:r>
        <w:rPr>
          <w:rFonts w:hint="default" w:ascii="Arial" w:hAnsi="Arial" w:cs="Arial"/>
          <w:color w:val="000000"/>
          <w:sz w:val="24"/>
          <w:szCs w:val="24"/>
        </w:rPr>
        <w:t>】事宜，经协商一致，订立《【   】合同》，以兹共同遵守。</w:t>
      </w:r>
    </w:p>
    <w:p w14:paraId="406DC3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9"/>
      </w:pPr>
      <w:r>
        <w:rPr>
          <w:rFonts w:hint="default" w:ascii="Arial" w:hAnsi="Arial" w:cs="Arial"/>
          <w:b/>
          <w:bCs/>
          <w:color w:val="000000"/>
          <w:sz w:val="24"/>
          <w:szCs w:val="24"/>
        </w:rPr>
        <w:t>一、项目概况</w:t>
      </w:r>
    </w:p>
    <w:p w14:paraId="744F3EBC">
      <w:pPr>
        <w:keepNext w:val="0"/>
        <w:keepLines w:val="0"/>
        <w:widowControl/>
        <w:numPr>
          <w:ilvl w:val="0"/>
          <w:numId w:val="1"/>
        </w:numPr>
        <w:suppressLineNumbers w:val="0"/>
        <w:spacing w:before="0" w:beforeAutospacing="1" w:after="0" w:afterAutospacing="1"/>
        <w:ind w:left="1440" w:hanging="360"/>
      </w:pPr>
    </w:p>
    <w:p w14:paraId="20DFCD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720" w:firstLine="480"/>
      </w:pPr>
      <w:r>
        <w:rPr>
          <w:rFonts w:hint="eastAsia" w:ascii="宋体" w:hAnsi="宋体" w:eastAsia="宋体" w:cs="宋体"/>
          <w:color w:val="000000"/>
          <w:sz w:val="24"/>
          <w:szCs w:val="24"/>
          <w:bdr w:val="none" w:color="auto" w:sz="0" w:space="0"/>
        </w:rPr>
        <w:t>项目名称：</w:t>
      </w:r>
      <w:bookmarkStart w:id="14" w:name="OLE_LINK1"/>
      <w:r>
        <w:rPr>
          <w:rFonts w:hint="eastAsia" w:ascii="宋体" w:hAnsi="宋体" w:eastAsia="宋体" w:cs="宋体"/>
          <w:color w:val="000000"/>
          <w:sz w:val="24"/>
          <w:szCs w:val="24"/>
          <w:bdr w:val="none" w:color="auto" w:sz="0" w:space="0"/>
        </w:rPr>
        <w:t>       光伏基地项目EPC总承包</w:t>
      </w:r>
      <w:bookmarkEnd w:id="14"/>
      <w:r>
        <w:rPr>
          <w:rFonts w:hint="eastAsia" w:ascii="宋体" w:hAnsi="宋体" w:eastAsia="宋体" w:cs="宋体"/>
          <w:color w:val="000000"/>
          <w:sz w:val="24"/>
          <w:szCs w:val="24"/>
          <w:bdr w:val="none" w:color="auto" w:sz="0" w:space="0"/>
        </w:rPr>
        <w:t>。</w:t>
      </w:r>
    </w:p>
    <w:p w14:paraId="400B47AD">
      <w:pPr>
        <w:keepNext w:val="0"/>
        <w:keepLines w:val="0"/>
        <w:widowControl/>
        <w:numPr>
          <w:ilvl w:val="0"/>
          <w:numId w:val="1"/>
        </w:numPr>
        <w:suppressLineNumbers w:val="0"/>
        <w:spacing w:before="0" w:beforeAutospacing="1" w:after="0" w:afterAutospacing="1"/>
        <w:ind w:left="1440" w:hanging="360"/>
      </w:pPr>
    </w:p>
    <w:p w14:paraId="64B979AA">
      <w:pPr>
        <w:keepNext w:val="0"/>
        <w:keepLines w:val="0"/>
        <w:widowControl/>
        <w:numPr>
          <w:ilvl w:val="0"/>
          <w:numId w:val="1"/>
        </w:numPr>
        <w:suppressLineNumbers w:val="0"/>
        <w:spacing w:before="0" w:beforeAutospacing="1" w:after="0" w:afterAutospacing="1"/>
        <w:ind w:left="1440" w:hanging="360"/>
      </w:pPr>
    </w:p>
    <w:p w14:paraId="03499C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720" w:firstLine="480"/>
      </w:pPr>
      <w:r>
        <w:rPr>
          <w:rFonts w:hint="eastAsia" w:ascii="宋体" w:hAnsi="宋体" w:eastAsia="宋体" w:cs="宋体"/>
          <w:color w:val="000000"/>
          <w:sz w:val="24"/>
          <w:szCs w:val="24"/>
          <w:bdr w:val="none" w:color="auto" w:sz="0" w:space="0"/>
          <w:shd w:val="clear" w:fill="FFFFFF"/>
        </w:rPr>
        <w:t xml:space="preserve">项目内容及规模： </w:t>
      </w:r>
    </w:p>
    <w:p w14:paraId="0F322959">
      <w:pPr>
        <w:keepNext w:val="0"/>
        <w:keepLines w:val="0"/>
        <w:widowControl/>
        <w:numPr>
          <w:ilvl w:val="0"/>
          <w:numId w:val="1"/>
        </w:numPr>
        <w:suppressLineNumbers w:val="0"/>
        <w:spacing w:before="0" w:beforeAutospacing="1" w:after="0" w:afterAutospacing="1"/>
        <w:ind w:left="1440" w:hanging="360"/>
      </w:pPr>
    </w:p>
    <w:p w14:paraId="3499A5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】光伏基地项目EPC总承包</w:t>
      </w:r>
      <w:r>
        <w:rPr>
          <w:rFonts w:hint="eastAsia" w:ascii="宋体" w:hAnsi="宋体" w:eastAsia="宋体" w:cs="宋体"/>
          <w:color w:val="000000"/>
          <w:sz w:val="24"/>
          <w:szCs w:val="24"/>
          <w:shd w:val="clear" w:fill="FFFFFF"/>
        </w:rPr>
        <w:t>工程本期规划容量为【  】MW，按照容配比1.2配置，直流侧光伏组件装机容量为【】MW，本期配套【 】%储能。</w:t>
      </w:r>
    </w:p>
    <w:p w14:paraId="6D1715F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shd w:val="clear" w:fill="FFFFFF"/>
        </w:rPr>
        <w:t>光伏场区本期一次建成，规划容量100MW（直流侧不少于120MW）。</w:t>
      </w:r>
    </w:p>
    <w:p w14:paraId="4DADC7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shd w:val="clear" w:fill="FFFF00"/>
        </w:rPr>
        <w:t>项目接入现有莲花山风电场升压站2#主变低压侧，升压后利用现有送出线路至斯能昔阳风电场升压站，考虑储能设备位置。</w:t>
      </w:r>
    </w:p>
    <w:p w14:paraId="7202011A">
      <w:pPr>
        <w:keepNext w:val="0"/>
        <w:keepLines w:val="0"/>
        <w:widowControl/>
        <w:numPr>
          <w:ilvl w:val="0"/>
          <w:numId w:val="2"/>
        </w:numPr>
        <w:suppressLineNumbers w:val="0"/>
        <w:spacing w:before="0" w:beforeAutospacing="1" w:after="0" w:afterAutospacing="1"/>
        <w:ind w:left="1440" w:hanging="360"/>
      </w:pPr>
    </w:p>
    <w:p w14:paraId="33B806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720" w:firstLine="480"/>
      </w:pPr>
      <w:r>
        <w:rPr>
          <w:rFonts w:hint="eastAsia" w:ascii="宋体" w:hAnsi="宋体" w:eastAsia="宋体" w:cs="宋体"/>
          <w:color w:val="000000"/>
          <w:sz w:val="24"/>
          <w:szCs w:val="24"/>
          <w:bdr w:val="none" w:color="auto" w:sz="0" w:space="0"/>
        </w:rPr>
        <w:t>项目所在省市详细地址：</w:t>
      </w:r>
      <w:r>
        <w:rPr>
          <w:rFonts w:hint="eastAsia" w:ascii="宋体" w:hAnsi="宋体" w:eastAsia="宋体" w:cs="宋体"/>
          <w:color w:val="000000"/>
          <w:sz w:val="24"/>
          <w:szCs w:val="24"/>
          <w:u w:val="single"/>
          <w:bdr w:val="none" w:color="auto" w:sz="0" w:space="0"/>
        </w:rPr>
        <w:t xml:space="preserve">                             </w:t>
      </w:r>
      <w:r>
        <w:rPr>
          <w:rFonts w:hint="eastAsia" w:ascii="宋体" w:hAnsi="宋体" w:eastAsia="宋体" w:cs="宋体"/>
          <w:color w:val="000000"/>
          <w:sz w:val="24"/>
          <w:szCs w:val="24"/>
          <w:bdr w:val="none" w:color="auto" w:sz="0" w:space="0"/>
        </w:rPr>
        <w:t>。</w:t>
      </w:r>
    </w:p>
    <w:p w14:paraId="3B093BEC">
      <w:pPr>
        <w:keepNext w:val="0"/>
        <w:keepLines w:val="0"/>
        <w:widowControl/>
        <w:numPr>
          <w:ilvl w:val="0"/>
          <w:numId w:val="2"/>
        </w:numPr>
        <w:suppressLineNumbers w:val="0"/>
        <w:spacing w:before="0" w:beforeAutospacing="1" w:after="0" w:afterAutospacing="1"/>
        <w:ind w:left="1440" w:hanging="360"/>
      </w:pPr>
    </w:p>
    <w:p w14:paraId="099B0F80">
      <w:pPr>
        <w:keepNext w:val="0"/>
        <w:keepLines w:val="0"/>
        <w:widowControl/>
        <w:numPr>
          <w:ilvl w:val="0"/>
          <w:numId w:val="2"/>
        </w:numPr>
        <w:suppressLineNumbers w:val="0"/>
        <w:spacing w:before="0" w:beforeAutospacing="1" w:after="0" w:afterAutospacing="1"/>
        <w:ind w:left="1440" w:hanging="360"/>
      </w:pPr>
    </w:p>
    <w:p w14:paraId="339460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720" w:firstLine="480"/>
      </w:pPr>
      <w:r>
        <w:rPr>
          <w:rFonts w:hint="eastAsia" w:ascii="宋体" w:hAnsi="宋体" w:eastAsia="宋体" w:cs="宋体"/>
          <w:color w:val="000000"/>
          <w:sz w:val="24"/>
          <w:szCs w:val="24"/>
          <w:bdr w:val="none" w:color="auto" w:sz="0" w:space="0"/>
        </w:rPr>
        <w:t>合同承包范围（包括但不限于下述工作）：</w:t>
      </w:r>
    </w:p>
    <w:p w14:paraId="215A8882">
      <w:pPr>
        <w:keepNext w:val="0"/>
        <w:keepLines w:val="0"/>
        <w:widowControl/>
        <w:numPr>
          <w:ilvl w:val="0"/>
          <w:numId w:val="2"/>
        </w:numPr>
        <w:suppressLineNumbers w:val="0"/>
        <w:spacing w:before="0" w:beforeAutospacing="1" w:after="0" w:afterAutospacing="1"/>
        <w:ind w:left="1440" w:hanging="360"/>
      </w:pPr>
    </w:p>
    <w:p w14:paraId="3AD09D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shd w:val="clear" w:fill="FFFFFF"/>
        </w:rPr>
        <w:t>承包人负责完成项目建设所需的所有审批（行政许可）文件，勘察、设计、施工【包括通水、通电通讯、通路、场地平整、临建设施等】、设备【光伏组件、支架、汇流箱、箱逆变、升压站一次设备、二次设备综合自动化】的材料采购（含备品备件、运维工器具）、总承包项目管理、调试、验收（包括专项验收）、培训、移交生产、工程质量保修等内容均属于承包人承包范围，承包人必须确保项目完全满足发包人正常使用且满足本合同要求的所有功能和标准，本工程为交钥匙工程，电站移交前必须满足电网公司及政府主管部门的相关要求。具体承包范围如下：</w:t>
      </w:r>
    </w:p>
    <w:p w14:paraId="7929CD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shd w:val="clear" w:fill="FFFFFF"/>
        </w:rPr>
        <w:t>1.光伏区【及升压站】工程勘察、设计、设备材料采购、土建施工及安装、调试验收、质量保证期内的保修服务、用电、用水。</w:t>
      </w:r>
    </w:p>
    <w:p w14:paraId="713539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shd w:val="clear" w:fill="FFFFFF"/>
        </w:rPr>
        <w:t>2.送出线路和对侧站改造工程的勘察、设计、设备材料采购、土建施工及安装、调试验收、质量保证期内的保修服务。</w:t>
      </w:r>
    </w:p>
    <w:p w14:paraId="3F9EE7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shd w:val="clear" w:fill="FFFFFF"/>
        </w:rPr>
        <w:t>3.负责本项目的工程一切险费用。</w:t>
      </w:r>
    </w:p>
    <w:p w14:paraId="663EA5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shd w:val="clear" w:fill="FFFFFF"/>
        </w:rPr>
        <w:t>4.办理项目质监、竣工验收、专项验收等验收手续及获取相关文件。</w:t>
      </w:r>
    </w:p>
    <w:p w14:paraId="6F8BE6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shd w:val="clear" w:fill="FFFFFF"/>
        </w:rPr>
        <w:t>5.负责办理工程移交给发包人后的质保服务及全部工程、技术资料的整理归档工作。</w:t>
      </w:r>
    </w:p>
    <w:p w14:paraId="5E363B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shd w:val="clear" w:fill="FFFFFF"/>
        </w:rPr>
        <w:t>6.负责该项目所有涉及的政府、民事协调工作，负责项目建设实施期间所涉及的所有征地、租地（建设期）并承担费用，负责青苗、附着物等补偿。</w:t>
      </w:r>
    </w:p>
    <w:p w14:paraId="74A9003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shd w:val="clear" w:fill="FFFFFF"/>
        </w:rPr>
        <w:t>7.其他合同范围中虽然未列出，但对于一个光伏电站的功能、安全、稳定运行必不可少的建筑、设备、材料及服务、环水保措施等，也应由承包人提供，其费用包括在总价中。</w:t>
      </w:r>
    </w:p>
    <w:p w14:paraId="718884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bookmarkStart w:id="15" w:name="_Toc24200_WPSOffice_Level2"/>
      <w:bookmarkStart w:id="16" w:name="_Toc488418313"/>
      <w:bookmarkStart w:id="17" w:name="_Toc9983"/>
      <w:bookmarkStart w:id="18" w:name="_Toc18094"/>
      <w:bookmarkStart w:id="19" w:name="_Toc8787"/>
      <w:bookmarkStart w:id="20" w:name="_Toc15639_WPSOffice_Level2"/>
      <w:bookmarkStart w:id="21" w:name="_Toc9558"/>
      <w:bookmarkStart w:id="22" w:name="_Toc30589"/>
      <w:bookmarkStart w:id="23" w:name="_Toc11949"/>
      <w:bookmarkStart w:id="24" w:name="_Toc24913"/>
      <w:r>
        <w:rPr>
          <w:rFonts w:hint="eastAsia" w:ascii="宋体" w:hAnsi="宋体" w:eastAsia="宋体" w:cs="宋体"/>
          <w:b/>
          <w:bCs/>
          <w:color w:val="000000"/>
          <w:sz w:val="24"/>
          <w:szCs w:val="24"/>
        </w:rPr>
        <w:t>承包人受发包人委托以发包人名义完成以下具体内容，负责承担费用并支付：</w:t>
      </w:r>
      <w:bookmarkEnd w:id="15"/>
      <w:bookmarkEnd w:id="16"/>
      <w:bookmarkEnd w:id="17"/>
      <w:bookmarkEnd w:id="18"/>
      <w:bookmarkEnd w:id="19"/>
      <w:bookmarkEnd w:id="20"/>
      <w:bookmarkEnd w:id="21"/>
      <w:bookmarkEnd w:id="22"/>
      <w:bookmarkEnd w:id="23"/>
      <w:bookmarkEnd w:id="24"/>
    </w:p>
    <w:p w14:paraId="2CF331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eastAsia" w:ascii="宋体" w:hAnsi="宋体" w:eastAsia="宋体" w:cs="宋体"/>
          <w:b/>
          <w:bCs/>
          <w:color w:val="000000"/>
          <w:sz w:val="24"/>
          <w:szCs w:val="24"/>
        </w:rPr>
        <w:t>1.施工前相关工作：</w:t>
      </w:r>
      <w:r>
        <w:rPr>
          <w:rFonts w:hint="eastAsia" w:ascii="宋体" w:hAnsi="宋体" w:eastAsia="宋体" w:cs="宋体"/>
          <w:color w:val="000000"/>
          <w:sz w:val="24"/>
          <w:szCs w:val="24"/>
        </w:rPr>
        <w:t>施工许可（项目开工前，履行国家、省、市、地方所有有关开工合法手续）、建设用地规划许可证、不动产权证书（土地证）、建设工程规划许可证、施工许可证、消防报审、安全评价（包含安全预评价、职业卫生预评价、设计安全专篇等）、保险、施工场地内地下管网线勘察（根据需要迁移或保护）；进场道路、施工临时用地；施工临时及永久性水源、电源、通讯施工及相关工作，将施工所需水、电、电讯线路从施工现场外部接至约定地点，并保证施工期间的需要。开通施工场地与城乡公共道路的通道，满足施工运输的需要，保证施工期间的畅通。</w:t>
      </w:r>
    </w:p>
    <w:p w14:paraId="3964AD6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eastAsia" w:ascii="宋体" w:hAnsi="宋体" w:eastAsia="宋体" w:cs="宋体"/>
          <w:b/>
          <w:bCs/>
          <w:color w:val="000000"/>
          <w:sz w:val="24"/>
          <w:szCs w:val="24"/>
        </w:rPr>
        <w:t>2.土地及林业：</w:t>
      </w:r>
      <w:r>
        <w:rPr>
          <w:rFonts w:hint="eastAsia" w:ascii="宋体" w:hAnsi="宋体" w:eastAsia="宋体" w:cs="宋体"/>
          <w:color w:val="000000"/>
          <w:sz w:val="24"/>
          <w:szCs w:val="24"/>
        </w:rPr>
        <w:t>水土流失补偿费、植被恢复费（如涉及）、耕地开垦费、新增建设用地费、土地出让金、契税、耕地占用税、土地使用税等）、各相关地方部门协调及手续办理征地、租地、厂区附着物（含地上、地下）拆迁及赔偿或搬移（如涉及），青苗赔偿、树木赔偿（如涉及）、房屋拆迁及清除地面（如涉及）、架空和地下障碍等工作，获得土地、林业批复（如涉及），取得采伐许可（如涉及）等合法手续，使施工场地具备施工条件，并在开工后继续负责解决以上事项遗留问题。征占地一切风险由承包人承担，确保项目依法合规，并负责解决由此产生的法律、经济等责任，国家产业政策调整除外。</w:t>
      </w:r>
    </w:p>
    <w:p w14:paraId="57B405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eastAsia" w:ascii="宋体" w:hAnsi="宋体" w:eastAsia="宋体" w:cs="宋体"/>
          <w:b/>
          <w:bCs/>
          <w:color w:val="000000"/>
          <w:sz w:val="24"/>
          <w:szCs w:val="24"/>
        </w:rPr>
        <w:t>承包人负责完成以下（包括但不限于）具体内容：</w:t>
      </w:r>
    </w:p>
    <w:p w14:paraId="029CC8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eastAsia" w:ascii="宋体" w:hAnsi="宋体" w:eastAsia="宋体" w:cs="宋体"/>
          <w:b/>
          <w:bCs/>
          <w:color w:val="000000"/>
          <w:sz w:val="24"/>
          <w:szCs w:val="24"/>
        </w:rPr>
        <w:t>1.设计及相关工作</w:t>
      </w:r>
      <w:r>
        <w:rPr>
          <w:rFonts w:hint="eastAsia" w:ascii="宋体" w:hAnsi="宋体" w:eastAsia="宋体" w:cs="宋体"/>
          <w:color w:val="000000"/>
          <w:sz w:val="24"/>
          <w:szCs w:val="24"/>
        </w:rPr>
        <w:t>：整个工程的勘察设计，包括但不限于本工程的生产工艺系统，辅助生产设施和附属设施的全部工艺系统、地质勘测、总平面布置、初步设计及概算、施工图设计、竣工图、</w:t>
      </w:r>
      <w:r>
        <w:rPr>
          <w:rFonts w:hint="eastAsia" w:ascii="宋体" w:hAnsi="宋体" w:eastAsia="宋体" w:cs="宋体"/>
          <w:color w:val="000000"/>
          <w:sz w:val="24"/>
          <w:szCs w:val="24"/>
          <w:shd w:val="clear" w:fill="FFFFFF"/>
        </w:rPr>
        <w:t>初步设计外审及收口工作</w:t>
      </w:r>
      <w:r>
        <w:rPr>
          <w:rFonts w:hint="eastAsia" w:ascii="宋体" w:hAnsi="宋体" w:eastAsia="宋体" w:cs="宋体"/>
          <w:color w:val="000000"/>
          <w:sz w:val="24"/>
          <w:szCs w:val="24"/>
        </w:rPr>
        <w:t>等。按有关规定组织有资质的单位对初步设计方案、施工图纸等进行会审、通过政府职能部门审查。</w:t>
      </w:r>
    </w:p>
    <w:p w14:paraId="64601A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eastAsia" w:ascii="宋体" w:hAnsi="宋体" w:eastAsia="宋体" w:cs="宋体"/>
          <w:b/>
          <w:bCs/>
          <w:color w:val="000000"/>
          <w:sz w:val="24"/>
          <w:szCs w:val="24"/>
        </w:rPr>
        <w:t>2.升压站工作范围：</w:t>
      </w:r>
      <w:r>
        <w:rPr>
          <w:rFonts w:hint="eastAsia" w:ascii="宋体" w:hAnsi="宋体" w:eastAsia="宋体" w:cs="宋体"/>
          <w:color w:val="000000"/>
          <w:sz w:val="24"/>
          <w:szCs w:val="24"/>
        </w:rPr>
        <w:t>负责本项目接入现有莲花山220kV升压站场地所需平整</w:t>
      </w:r>
      <w:r>
        <w:rPr>
          <w:rFonts w:ascii="楷体_GB2312" w:eastAsia="楷体_GB2312" w:cs="楷体_GB2312"/>
          <w:color w:val="000000"/>
          <w:sz w:val="24"/>
          <w:szCs w:val="24"/>
        </w:rPr>
        <w:t>、</w:t>
      </w:r>
      <w:r>
        <w:rPr>
          <w:rFonts w:hint="eastAsia" w:ascii="宋体" w:hAnsi="宋体" w:eastAsia="宋体" w:cs="宋体"/>
          <w:color w:val="000000"/>
          <w:sz w:val="24"/>
          <w:szCs w:val="24"/>
        </w:rPr>
        <w:t>建筑安装工程施工、所需的全部设备采购、安装、调试、联合试运转等，沉降观测工程。</w:t>
      </w:r>
    </w:p>
    <w:p w14:paraId="50BCB8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eastAsia" w:ascii="宋体" w:hAnsi="宋体" w:eastAsia="宋体" w:cs="宋体"/>
          <w:b/>
          <w:bCs/>
          <w:color w:val="000000"/>
          <w:sz w:val="24"/>
          <w:szCs w:val="24"/>
        </w:rPr>
        <w:t>3.光伏方阵区工作范围：</w:t>
      </w:r>
      <w:r>
        <w:rPr>
          <w:rFonts w:hint="eastAsia" w:ascii="宋体" w:hAnsi="宋体" w:eastAsia="宋体" w:cs="宋体"/>
          <w:color w:val="000000"/>
          <w:sz w:val="24"/>
          <w:szCs w:val="24"/>
        </w:rPr>
        <w:t>光伏桩基基础、逆变器及箱变基础、光伏组件逆变器箱变的安装、施工道路、检修道路（水土保持工程、环保工程）、集电线路、电缆敷设、防雷接地等工程、</w:t>
      </w:r>
      <w:r>
        <w:rPr>
          <w:rFonts w:hint="eastAsia" w:ascii="宋体" w:hAnsi="宋体" w:eastAsia="宋体" w:cs="宋体"/>
          <w:color w:val="000000"/>
          <w:sz w:val="24"/>
          <w:szCs w:val="24"/>
          <w:shd w:val="clear" w:fill="FFFFFF"/>
        </w:rPr>
        <w:t>光伏组件、支架、汇流箱、箱逆变、升压站一次设备、二次设备综合自动化）的设备材料采购</w:t>
      </w:r>
      <w:r>
        <w:rPr>
          <w:rFonts w:hint="eastAsia" w:ascii="宋体" w:hAnsi="宋体" w:eastAsia="宋体" w:cs="宋体"/>
          <w:color w:val="000000"/>
          <w:sz w:val="24"/>
          <w:szCs w:val="24"/>
        </w:rPr>
        <w:t>、安装、调试、联合试运。</w:t>
      </w:r>
    </w:p>
    <w:p w14:paraId="6D633A8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eastAsia" w:ascii="宋体" w:hAnsi="宋体" w:eastAsia="宋体" w:cs="宋体"/>
          <w:b/>
          <w:bCs/>
          <w:color w:val="000000"/>
          <w:sz w:val="24"/>
          <w:szCs w:val="24"/>
        </w:rPr>
        <w:t>4.送出工程工作范围：</w:t>
      </w:r>
      <w:r>
        <w:rPr>
          <w:rFonts w:hint="eastAsia" w:ascii="宋体" w:hAnsi="宋体" w:eastAsia="宋体" w:cs="宋体"/>
          <w:color w:val="000000"/>
          <w:sz w:val="24"/>
          <w:szCs w:val="24"/>
        </w:rPr>
        <w:t>按照接入系统报告书及审查意见所包含的全部工作，包含但不限于土地征租费用，设计、设备材料采购，建筑安装施工，调试，验收及相关手续的办理。</w:t>
      </w:r>
    </w:p>
    <w:p w14:paraId="3DB717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eastAsia" w:ascii="宋体" w:hAnsi="宋体" w:eastAsia="宋体" w:cs="宋体"/>
          <w:b/>
          <w:bCs/>
          <w:color w:val="000000"/>
          <w:sz w:val="24"/>
          <w:szCs w:val="24"/>
        </w:rPr>
        <w:t>5.验收工作范围：</w:t>
      </w:r>
      <w:r>
        <w:rPr>
          <w:rFonts w:hint="eastAsia" w:ascii="宋体" w:hAnsi="宋体" w:eastAsia="宋体" w:cs="宋体"/>
          <w:color w:val="000000"/>
          <w:sz w:val="24"/>
          <w:szCs w:val="24"/>
        </w:rPr>
        <w:t>负责办理主体工程验收、质量监督与验收、工程整套启动试运行验收、消防验收、环评验收（包含环保评估报告、辐射环评验收等）、安全设施验收（包含安全验收评价等）、职业卫生验收（包含职业卫生验收评价等）、防雷接地验收、水土保持验收（包含水保验收评估报告等）、外送线路环评、水保、安全设施验收、档案达标验收（符合政府及发包人要求）、达标投产验收、整体启动验收（包括但不限于办理发电业务许可证、并网调度协议、购售电合同等），竣工验收、土地复垦验收等依法应当进行的全部验收工作，并使发包人获得由相关政府部门或其他部门颁发的验收许可文件以及其他证件、批文。</w:t>
      </w:r>
    </w:p>
    <w:p w14:paraId="234D37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eastAsia" w:ascii="宋体" w:hAnsi="宋体" w:eastAsia="宋体" w:cs="宋体"/>
          <w:b/>
          <w:bCs/>
          <w:color w:val="000000"/>
          <w:sz w:val="24"/>
          <w:szCs w:val="24"/>
        </w:rPr>
        <w:t>6.</w:t>
      </w:r>
      <w:r>
        <w:rPr>
          <w:rFonts w:hint="eastAsia" w:ascii="宋体" w:hAnsi="宋体" w:eastAsia="宋体" w:cs="宋体"/>
          <w:color w:val="000000"/>
          <w:sz w:val="24"/>
          <w:szCs w:val="24"/>
        </w:rPr>
        <w:t>及时向发包人提交设备招标计划及倒排施工进度计划，并办理相关审批手续。</w:t>
      </w:r>
    </w:p>
    <w:p w14:paraId="064F49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eastAsia" w:ascii="宋体" w:hAnsi="宋体" w:eastAsia="宋体" w:cs="宋体"/>
          <w:b/>
          <w:bCs/>
          <w:color w:val="000000"/>
          <w:sz w:val="24"/>
          <w:szCs w:val="24"/>
        </w:rPr>
        <w:t>7.</w:t>
      </w:r>
      <w:r>
        <w:rPr>
          <w:rFonts w:hint="eastAsia" w:ascii="宋体" w:hAnsi="宋体" w:eastAsia="宋体" w:cs="宋体"/>
          <w:color w:val="000000"/>
          <w:sz w:val="24"/>
          <w:szCs w:val="24"/>
        </w:rPr>
        <w:t>为本项目的建设、运行，提供技术服务及各类培训等，按照发包人要求完成施工期、运行期施工场区内所需的宣传标语以及生产准备工作（包含工器具、备品配件、安全及设备标识标牌）。</w:t>
      </w:r>
    </w:p>
    <w:p w14:paraId="3F02C6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default" w:ascii="Arial" w:hAnsi="Arial" w:cs="Arial"/>
          <w:b/>
          <w:bCs/>
          <w:color w:val="000000"/>
          <w:sz w:val="24"/>
          <w:szCs w:val="24"/>
        </w:rPr>
        <w:t>二、工程主要生产技术（或建筑设计方案）来源</w:t>
      </w:r>
    </w:p>
    <w:p w14:paraId="0D4C36A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Arial" w:hAnsi="Arial" w:cs="Arial"/>
          <w:color w:val="000000"/>
          <w:sz w:val="24"/>
          <w:szCs w:val="24"/>
        </w:rPr>
        <w:t>《工程可行性研究报告》及相关批复意见、国家和当地现行的有关技术标准、规范和规程。</w:t>
      </w:r>
    </w:p>
    <w:p w14:paraId="46A789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default" w:ascii="Arial" w:hAnsi="Arial" w:cs="Arial"/>
          <w:b/>
          <w:bCs/>
          <w:color w:val="000000"/>
          <w:sz w:val="24"/>
          <w:szCs w:val="24"/>
        </w:rPr>
        <w:t>三、主要日期</w:t>
      </w:r>
    </w:p>
    <w:p w14:paraId="3A980F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Times New Roman" w:hAnsi="Times New Roman" w:cs="Times New Roman"/>
          <w:color w:val="000000"/>
          <w:sz w:val="24"/>
          <w:szCs w:val="24"/>
        </w:rPr>
        <w:t>设计开工日期：合同签订后5个工作日，设计完工日期：【】年【】月【】日。</w:t>
      </w:r>
    </w:p>
    <w:p w14:paraId="0BDF7A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Times New Roman" w:hAnsi="Times New Roman" w:cs="Times New Roman"/>
          <w:color w:val="000000"/>
          <w:sz w:val="24"/>
          <w:szCs w:val="24"/>
        </w:rPr>
        <w:t>施工开工日期：【】年【】月【】日，完工日期不晚于【】年【】月【】日。</w:t>
      </w:r>
    </w:p>
    <w:p w14:paraId="2DE6CB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default" w:ascii="Arial" w:hAnsi="Arial" w:cs="Arial"/>
          <w:b/>
          <w:bCs/>
          <w:color w:val="000000"/>
          <w:sz w:val="24"/>
          <w:szCs w:val="24"/>
        </w:rPr>
        <w:t>四、工程质量标准</w:t>
      </w:r>
    </w:p>
    <w:p w14:paraId="281593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工程质量标准：符合现行有效的《电力建设施工质量验收及评价规程》《光伏发电工程验收规范》（2012版）、《电力建设工程质量监督检查典型大纲（光伏发电部分）》等有关国家、电力行业标准要求，建筑、安装分项工程合格率100%。</w:t>
      </w:r>
    </w:p>
    <w:p w14:paraId="619E81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一次验收合格，且本工程质监应在质量监督站注册并接受监督检查、通过验收。</w:t>
      </w:r>
    </w:p>
    <w:p w14:paraId="341907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default" w:ascii="Arial" w:hAnsi="Arial" w:cs="Arial"/>
          <w:b/>
          <w:bCs/>
          <w:color w:val="000000"/>
          <w:sz w:val="24"/>
          <w:szCs w:val="24"/>
        </w:rPr>
        <w:t>五、合同价格和付款货币</w:t>
      </w:r>
    </w:p>
    <w:p w14:paraId="0F853D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rPr>
        <w:t>1.本EPC合同为固定总价合同，EPC合同价为：（大写）  元整（￥  万元）。</w:t>
      </w:r>
    </w:p>
    <w:p w14:paraId="76DA55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rPr>
        <w:t>(1) 设备费：（大写）      元整（¥     万元），含【   】增值税；</w:t>
      </w:r>
    </w:p>
    <w:p w14:paraId="2784EA6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rPr>
        <w:t>(2) 建筑安装工程费（含送出工程）：（大写）元整（¥   万元），含9%增值税；</w:t>
      </w:r>
    </w:p>
    <w:p w14:paraId="3B19CC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rPr>
        <w:t>(3) 其他费用：（大写）元整（¥   万元），其中建设用地费开具项目所在地政府开具的行政事业费收据，除土地征租费之外的其他费用含【  】增值税。</w:t>
      </w:r>
    </w:p>
    <w:p w14:paraId="23FD7E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rPr>
        <w:t>2.详细的合同价格表见合同附件：附件八《合同价格表》、附件九《设备及安装工程合同价格明细》、附件十《建筑工程合同价格明细》、附件十一《其他费用合同价格明细》。</w:t>
      </w:r>
    </w:p>
    <w:p w14:paraId="0D74DD9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rPr>
        <w:t>3.付款货币：人民币现金电汇支付。发包人支付银行承兑时，应向承包人额外支付承兑贴息费用。</w:t>
      </w:r>
    </w:p>
    <w:p w14:paraId="75CE5D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合同价款包含了以上工作内容的全部费用（含税金），具体报价表详见附件9合同价格分项表。本EPC合同为固定总价，除双方另有约定外，合同价格不作调整。</w:t>
      </w:r>
    </w:p>
    <w:p w14:paraId="63261E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bookmarkStart w:id="25" w:name="_Hlk95221871"/>
      <w:r>
        <w:rPr>
          <w:rFonts w:hint="default" w:ascii="Arial" w:hAnsi="Arial" w:cs="Arial"/>
          <w:b/>
          <w:bCs/>
          <w:color w:val="000000"/>
          <w:sz w:val="24"/>
          <w:szCs w:val="24"/>
        </w:rPr>
        <w:t>六、合同文件构成</w:t>
      </w:r>
      <w:bookmarkEnd w:id="25"/>
    </w:p>
    <w:p w14:paraId="4D8C517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本协议书及附件与下列文件一起构成EPC合同补充协议书合同文件：</w:t>
      </w:r>
    </w:p>
    <w:p w14:paraId="171D3F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1.合同协议书；</w:t>
      </w:r>
    </w:p>
    <w:p w14:paraId="6B9627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2.中标通知书；</w:t>
      </w:r>
    </w:p>
    <w:p w14:paraId="16E52D6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3.专用合同条款及合同附件；</w:t>
      </w:r>
    </w:p>
    <w:p w14:paraId="34CF499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4.通用合同条款；</w:t>
      </w:r>
    </w:p>
    <w:p w14:paraId="5B3505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5.技术标准和要求，包括但不限于技术文件及技术文件附件；</w:t>
      </w:r>
    </w:p>
    <w:p w14:paraId="0370A5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6.图纸；</w:t>
      </w:r>
    </w:p>
    <w:p w14:paraId="0E1462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7.合同价格明细；</w:t>
      </w:r>
    </w:p>
    <w:p w14:paraId="1FFDFB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8.【  】EPC招标项目可研报告（终版）；</w:t>
      </w:r>
    </w:p>
    <w:p w14:paraId="2B27BA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9. 投标函及其附录；</w:t>
      </w:r>
    </w:p>
    <w:p w14:paraId="166BC1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10. 招标文件；</w:t>
      </w:r>
    </w:p>
    <w:p w14:paraId="48E108F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11 .其他合同文件。</w:t>
      </w:r>
    </w:p>
    <w:p w14:paraId="5554BC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上述文件应互为补充和解释，如有不清或互相矛盾之处，以上面所列顺序在前的为准。</w:t>
      </w:r>
    </w:p>
    <w:p w14:paraId="0F9FF7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上述各项合同文件包括合同当事人就该项合同文件所作出的补充和修改，属于同一类内容的文件，应以最新签署的为准。</w:t>
      </w:r>
    </w:p>
    <w:p w14:paraId="2C40D6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双方在履行合同过程中形成的双方授权代表签署的会议纪要、备忘录、补充文件、变更和洽商等书面形式的文件构成本合同的组成部分。</w:t>
      </w:r>
    </w:p>
    <w:p w14:paraId="18CACC8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专用合同条款及合同附件须经合同当事人签字或盖章。</w:t>
      </w:r>
    </w:p>
    <w:p w14:paraId="2667A2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bookmarkStart w:id="26" w:name="_Toc7095662"/>
      <w:bookmarkStart w:id="27" w:name="_Toc48752784"/>
      <w:r>
        <w:rPr>
          <w:rFonts w:hint="default" w:ascii="Arial" w:hAnsi="Arial" w:cs="Arial"/>
          <w:b/>
          <w:bCs/>
          <w:color w:val="000000"/>
          <w:sz w:val="24"/>
          <w:szCs w:val="24"/>
        </w:rPr>
        <w:t>七、承诺</w:t>
      </w:r>
      <w:bookmarkEnd w:id="26"/>
      <w:bookmarkEnd w:id="27"/>
    </w:p>
    <w:p w14:paraId="3F7E62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1.发包人承诺按照法律规定履行项目审批手续、筹集工程建设资金并按照合同约定的期限和方式支付合同价款。</w:t>
      </w:r>
    </w:p>
    <w:p w14:paraId="7E2CD8F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2. 承包人承诺按照法律规定及合同约定组织完成工程施工，确保工程质量和安全，不进行转包及违法分包，并在缺陷责任期及保修期内承担相应的工程维修责任。</w:t>
      </w:r>
    </w:p>
    <w:p w14:paraId="3603E6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3.发包人和承包人通过招投标形式签订合同的，双方理解并承诺不再就同一工程另行签订与合同实质性内容相背离的协议。</w:t>
      </w:r>
    </w:p>
    <w:p w14:paraId="4A7AC7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default" w:ascii="Arial" w:hAnsi="Arial" w:cs="Arial"/>
          <w:b/>
          <w:bCs/>
          <w:color w:val="000000"/>
          <w:sz w:val="24"/>
          <w:szCs w:val="24"/>
        </w:rPr>
        <w:t>八、定义与解释</w:t>
      </w:r>
    </w:p>
    <w:p w14:paraId="24DEB7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本协议书中有关词语的含义与通用条款中赋予的定义与解释相同。</w:t>
      </w:r>
    </w:p>
    <w:p w14:paraId="335705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default" w:ascii="Arial" w:hAnsi="Arial" w:cs="Arial"/>
          <w:b/>
          <w:bCs/>
          <w:color w:val="000000"/>
          <w:sz w:val="24"/>
          <w:szCs w:val="24"/>
        </w:rPr>
        <w:t>九、签订时间</w:t>
      </w:r>
    </w:p>
    <w:p w14:paraId="305A2D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本合同于【  】年【  】月【  】日签订。</w:t>
      </w:r>
    </w:p>
    <w:p w14:paraId="6C45D4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bookmarkStart w:id="28" w:name="_Toc7095665"/>
      <w:bookmarkStart w:id="29" w:name="_Toc48752787"/>
      <w:r>
        <w:rPr>
          <w:rFonts w:hint="default" w:ascii="Arial" w:hAnsi="Arial" w:cs="Arial"/>
          <w:b/>
          <w:bCs/>
          <w:color w:val="000000"/>
          <w:sz w:val="24"/>
          <w:szCs w:val="24"/>
        </w:rPr>
        <w:t>十、签订地点</w:t>
      </w:r>
      <w:bookmarkEnd w:id="28"/>
      <w:bookmarkEnd w:id="29"/>
    </w:p>
    <w:p w14:paraId="71D8D12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本合同在【    】签订。</w:t>
      </w:r>
    </w:p>
    <w:p w14:paraId="339E9B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default" w:ascii="Arial" w:hAnsi="Arial" w:cs="Arial"/>
          <w:b/>
          <w:bCs/>
          <w:color w:val="000000"/>
          <w:sz w:val="24"/>
          <w:szCs w:val="24"/>
        </w:rPr>
        <w:t>十一、合同生效及其他</w:t>
      </w:r>
    </w:p>
    <w:p w14:paraId="1879937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本合同在以下条件全部满足之后生效：发包人、承包人的法定代表人或授权代表在本合同上签字并加盖公章或合同专用章。</w:t>
      </w:r>
    </w:p>
    <w:p w14:paraId="701E65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bookmarkStart w:id="30" w:name="_Toc48752790"/>
      <w:bookmarkStart w:id="31" w:name="_Toc7095668"/>
      <w:r>
        <w:rPr>
          <w:rFonts w:hint="default" w:ascii="Arial" w:hAnsi="Arial" w:cs="Arial"/>
          <w:b/>
          <w:bCs/>
          <w:color w:val="000000"/>
          <w:sz w:val="24"/>
          <w:szCs w:val="24"/>
        </w:rPr>
        <w:t>十二、合同份数</w:t>
      </w:r>
      <w:bookmarkEnd w:id="30"/>
      <w:bookmarkEnd w:id="31"/>
    </w:p>
    <w:p w14:paraId="591136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Arial" w:hAnsi="Arial" w:cs="Arial"/>
          <w:color w:val="000000"/>
          <w:sz w:val="24"/>
          <w:szCs w:val="24"/>
        </w:rPr>
        <w:t>本合同【  】份，发包人执【  】份，承包人执【  】份，每份均具有同等法律效力。</w:t>
      </w:r>
    </w:p>
    <w:p w14:paraId="683B7A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Arial" w:hAnsi="Arial" w:cs="Arial"/>
          <w:b/>
          <w:bCs/>
          <w:color w:val="000000"/>
          <w:sz w:val="24"/>
          <w:szCs w:val="24"/>
        </w:rPr>
        <w:br w:type="page"/>
      </w:r>
      <w:r>
        <w:rPr>
          <w:rFonts w:hint="default" w:ascii="Arial" w:hAnsi="Arial" w:cs="Arial"/>
          <w:b/>
          <w:bCs/>
          <w:color w:val="000000"/>
          <w:sz w:val="24"/>
          <w:szCs w:val="24"/>
        </w:rPr>
        <w:t> </w:t>
      </w:r>
    </w:p>
    <w:p w14:paraId="140100F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eastAsia" w:ascii="宋体" w:hAnsi="宋体" w:eastAsia="宋体" w:cs="宋体"/>
          <w:b/>
          <w:bCs/>
          <w:color w:val="000000"/>
          <w:sz w:val="24"/>
          <w:szCs w:val="24"/>
        </w:rPr>
        <w:t>（本页无正文，为《【        光伏基地项目】EPC总承包合同》签署页）</w:t>
      </w:r>
    </w:p>
    <w:p w14:paraId="1B8F31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t> </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53"/>
        <w:gridCol w:w="4269"/>
      </w:tblGrid>
      <w:tr w14:paraId="47AA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5" w:hRule="atLeast"/>
          <w:tblCellSpacing w:w="0" w:type="dxa"/>
          <w:jc w:val="center"/>
        </w:trPr>
        <w:tc>
          <w:tcPr>
            <w:tcW w:w="4434" w:type="dxa"/>
            <w:tcBorders>
              <w:top w:val="nil"/>
              <w:left w:val="nil"/>
              <w:bottom w:val="nil"/>
              <w:right w:val="nil"/>
            </w:tcBorders>
            <w:shd w:val="clear"/>
            <w:vAlign w:val="center"/>
          </w:tcPr>
          <w:p w14:paraId="39C2DE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 xml:space="preserve">发包人：             （盖章）     </w:t>
            </w:r>
          </w:p>
        </w:tc>
        <w:tc>
          <w:tcPr>
            <w:tcW w:w="4467" w:type="dxa"/>
            <w:tcBorders>
              <w:top w:val="nil"/>
              <w:left w:val="nil"/>
              <w:bottom w:val="nil"/>
              <w:right w:val="nil"/>
            </w:tcBorders>
            <w:shd w:val="clear"/>
            <w:vAlign w:val="center"/>
          </w:tcPr>
          <w:p w14:paraId="34EFF2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承包人：           （盖章）</w:t>
            </w:r>
          </w:p>
        </w:tc>
      </w:tr>
      <w:tr w14:paraId="74D2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blCellSpacing w:w="0" w:type="dxa"/>
          <w:jc w:val="center"/>
        </w:trPr>
        <w:tc>
          <w:tcPr>
            <w:tcW w:w="4434" w:type="dxa"/>
            <w:tcBorders>
              <w:top w:val="nil"/>
              <w:left w:val="nil"/>
              <w:bottom w:val="nil"/>
              <w:right w:val="nil"/>
            </w:tcBorders>
            <w:shd w:val="clear"/>
            <w:vAlign w:val="center"/>
          </w:tcPr>
          <w:p w14:paraId="029225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法定代表人/授权代表（签字）：</w:t>
            </w:r>
          </w:p>
        </w:tc>
        <w:tc>
          <w:tcPr>
            <w:tcW w:w="4467" w:type="dxa"/>
            <w:tcBorders>
              <w:top w:val="nil"/>
              <w:left w:val="nil"/>
              <w:bottom w:val="nil"/>
              <w:right w:val="nil"/>
            </w:tcBorders>
            <w:shd w:val="clear"/>
            <w:vAlign w:val="center"/>
          </w:tcPr>
          <w:p w14:paraId="076B27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法定代表人/授权代表（签字）：</w:t>
            </w:r>
          </w:p>
        </w:tc>
      </w:tr>
      <w:tr w14:paraId="6E7B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blCellSpacing w:w="0" w:type="dxa"/>
          <w:jc w:val="center"/>
        </w:trPr>
        <w:tc>
          <w:tcPr>
            <w:tcW w:w="4434" w:type="dxa"/>
            <w:tcBorders>
              <w:top w:val="nil"/>
              <w:left w:val="nil"/>
              <w:bottom w:val="nil"/>
              <w:right w:val="nil"/>
            </w:tcBorders>
            <w:shd w:val="clear"/>
            <w:vAlign w:val="center"/>
          </w:tcPr>
          <w:p w14:paraId="22D6082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签订日期：     年   月   日</w:t>
            </w:r>
          </w:p>
        </w:tc>
        <w:tc>
          <w:tcPr>
            <w:tcW w:w="4467" w:type="dxa"/>
            <w:tcBorders>
              <w:top w:val="nil"/>
              <w:left w:val="nil"/>
              <w:bottom w:val="nil"/>
              <w:right w:val="nil"/>
            </w:tcBorders>
            <w:shd w:val="clear"/>
            <w:vAlign w:val="center"/>
          </w:tcPr>
          <w:p w14:paraId="1875BE3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签订日期：     年   月   日</w:t>
            </w:r>
          </w:p>
        </w:tc>
      </w:tr>
      <w:tr w14:paraId="6F69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blCellSpacing w:w="0" w:type="dxa"/>
          <w:jc w:val="center"/>
        </w:trPr>
        <w:tc>
          <w:tcPr>
            <w:tcW w:w="4434" w:type="dxa"/>
            <w:tcBorders>
              <w:top w:val="nil"/>
              <w:left w:val="nil"/>
              <w:bottom w:val="nil"/>
              <w:right w:val="nil"/>
            </w:tcBorders>
            <w:shd w:val="clear"/>
            <w:vAlign w:val="center"/>
          </w:tcPr>
          <w:p w14:paraId="3B7F9CC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地址：</w:t>
            </w:r>
          </w:p>
        </w:tc>
        <w:tc>
          <w:tcPr>
            <w:tcW w:w="4467" w:type="dxa"/>
            <w:tcBorders>
              <w:top w:val="nil"/>
              <w:left w:val="nil"/>
              <w:bottom w:val="nil"/>
              <w:right w:val="nil"/>
            </w:tcBorders>
            <w:shd w:val="clear"/>
            <w:vAlign w:val="center"/>
          </w:tcPr>
          <w:p w14:paraId="4829C7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地址：</w:t>
            </w:r>
          </w:p>
        </w:tc>
      </w:tr>
      <w:tr w14:paraId="77C4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blCellSpacing w:w="0" w:type="dxa"/>
          <w:jc w:val="center"/>
        </w:trPr>
        <w:tc>
          <w:tcPr>
            <w:tcW w:w="4434" w:type="dxa"/>
            <w:tcBorders>
              <w:top w:val="nil"/>
              <w:left w:val="nil"/>
              <w:bottom w:val="nil"/>
              <w:right w:val="nil"/>
            </w:tcBorders>
            <w:shd w:val="clear"/>
            <w:vAlign w:val="center"/>
          </w:tcPr>
          <w:p w14:paraId="42A88F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 xml:space="preserve">邮编： </w:t>
            </w:r>
          </w:p>
        </w:tc>
        <w:tc>
          <w:tcPr>
            <w:tcW w:w="4467" w:type="dxa"/>
            <w:tcBorders>
              <w:top w:val="nil"/>
              <w:left w:val="nil"/>
              <w:bottom w:val="nil"/>
              <w:right w:val="nil"/>
            </w:tcBorders>
            <w:shd w:val="clear"/>
            <w:vAlign w:val="center"/>
          </w:tcPr>
          <w:p w14:paraId="42A57D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邮编：</w:t>
            </w:r>
          </w:p>
        </w:tc>
      </w:tr>
      <w:tr w14:paraId="17D1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6C4420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联系人：</w:t>
            </w:r>
          </w:p>
        </w:tc>
        <w:tc>
          <w:tcPr>
            <w:tcW w:w="4467" w:type="dxa"/>
            <w:tcBorders>
              <w:top w:val="nil"/>
              <w:left w:val="nil"/>
              <w:bottom w:val="nil"/>
              <w:right w:val="nil"/>
            </w:tcBorders>
            <w:shd w:val="clear"/>
            <w:vAlign w:val="center"/>
          </w:tcPr>
          <w:p w14:paraId="266F91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联系人：</w:t>
            </w:r>
          </w:p>
        </w:tc>
      </w:tr>
      <w:tr w14:paraId="750D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282FB8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电话：</w:t>
            </w:r>
          </w:p>
        </w:tc>
        <w:tc>
          <w:tcPr>
            <w:tcW w:w="4467" w:type="dxa"/>
            <w:tcBorders>
              <w:top w:val="nil"/>
              <w:left w:val="nil"/>
              <w:bottom w:val="nil"/>
              <w:right w:val="nil"/>
            </w:tcBorders>
            <w:shd w:val="clear"/>
            <w:vAlign w:val="center"/>
          </w:tcPr>
          <w:p w14:paraId="0023C04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电话：</w:t>
            </w:r>
          </w:p>
        </w:tc>
      </w:tr>
      <w:tr w14:paraId="7808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634145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邮箱：</w:t>
            </w:r>
          </w:p>
        </w:tc>
        <w:tc>
          <w:tcPr>
            <w:tcW w:w="4467" w:type="dxa"/>
            <w:tcBorders>
              <w:top w:val="nil"/>
              <w:left w:val="nil"/>
              <w:bottom w:val="nil"/>
              <w:right w:val="nil"/>
            </w:tcBorders>
            <w:shd w:val="clear"/>
            <w:vAlign w:val="center"/>
          </w:tcPr>
          <w:p w14:paraId="3F65DD0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邮箱：</w:t>
            </w:r>
          </w:p>
        </w:tc>
      </w:tr>
      <w:tr w14:paraId="18C2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blCellSpacing w:w="0" w:type="dxa"/>
          <w:jc w:val="center"/>
        </w:trPr>
        <w:tc>
          <w:tcPr>
            <w:tcW w:w="4434" w:type="dxa"/>
            <w:tcBorders>
              <w:top w:val="nil"/>
              <w:left w:val="nil"/>
              <w:bottom w:val="nil"/>
              <w:right w:val="nil"/>
            </w:tcBorders>
            <w:shd w:val="clear"/>
            <w:vAlign w:val="center"/>
          </w:tcPr>
          <w:p w14:paraId="532CB8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开户银行：</w:t>
            </w:r>
          </w:p>
        </w:tc>
        <w:tc>
          <w:tcPr>
            <w:tcW w:w="4467" w:type="dxa"/>
            <w:tcBorders>
              <w:top w:val="nil"/>
              <w:left w:val="nil"/>
              <w:bottom w:val="nil"/>
              <w:right w:val="nil"/>
            </w:tcBorders>
            <w:shd w:val="clear"/>
            <w:vAlign w:val="center"/>
          </w:tcPr>
          <w:p w14:paraId="3B9F2D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开户银行：</w:t>
            </w:r>
          </w:p>
        </w:tc>
      </w:tr>
      <w:tr w14:paraId="17F6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blCellSpacing w:w="0" w:type="dxa"/>
          <w:jc w:val="center"/>
        </w:trPr>
        <w:tc>
          <w:tcPr>
            <w:tcW w:w="4434" w:type="dxa"/>
            <w:tcBorders>
              <w:top w:val="nil"/>
              <w:left w:val="nil"/>
              <w:bottom w:val="nil"/>
              <w:right w:val="nil"/>
            </w:tcBorders>
            <w:shd w:val="clear"/>
            <w:vAlign w:val="center"/>
          </w:tcPr>
          <w:p w14:paraId="043BB92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账号：</w:t>
            </w:r>
          </w:p>
        </w:tc>
        <w:tc>
          <w:tcPr>
            <w:tcW w:w="4467" w:type="dxa"/>
            <w:tcBorders>
              <w:top w:val="nil"/>
              <w:left w:val="nil"/>
              <w:bottom w:val="nil"/>
              <w:right w:val="nil"/>
            </w:tcBorders>
            <w:shd w:val="clear"/>
            <w:vAlign w:val="center"/>
          </w:tcPr>
          <w:p w14:paraId="34E3BB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账号：</w:t>
            </w:r>
          </w:p>
        </w:tc>
      </w:tr>
      <w:tr w14:paraId="60D9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blCellSpacing w:w="0" w:type="dxa"/>
          <w:jc w:val="center"/>
        </w:trPr>
        <w:tc>
          <w:tcPr>
            <w:tcW w:w="4434" w:type="dxa"/>
            <w:tcBorders>
              <w:top w:val="nil"/>
              <w:left w:val="nil"/>
              <w:bottom w:val="nil"/>
              <w:right w:val="nil"/>
            </w:tcBorders>
            <w:shd w:val="clear"/>
            <w:vAlign w:val="center"/>
          </w:tcPr>
          <w:p w14:paraId="393F24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税号：</w:t>
            </w:r>
          </w:p>
        </w:tc>
        <w:tc>
          <w:tcPr>
            <w:tcW w:w="4467" w:type="dxa"/>
            <w:tcBorders>
              <w:top w:val="nil"/>
              <w:left w:val="nil"/>
              <w:bottom w:val="nil"/>
              <w:right w:val="nil"/>
            </w:tcBorders>
            <w:shd w:val="clear"/>
            <w:vAlign w:val="center"/>
          </w:tcPr>
          <w:p w14:paraId="75D9184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税号：</w:t>
            </w:r>
          </w:p>
        </w:tc>
      </w:tr>
    </w:tbl>
    <w:p w14:paraId="19EF1B8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114A58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33092A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7490CC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2E4C26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34245C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0D2FA2B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141F0F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5DC9B7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370B24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32CC2F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1BC1A9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18073E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489"/>
      </w:pPr>
      <w:r>
        <w:rPr>
          <w:bdr w:val="none" w:color="auto" w:sz="0" w:space="0"/>
        </w:rPr>
        <w:t> </w:t>
      </w:r>
    </w:p>
    <w:p w14:paraId="2C5BBF3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jc w:val="center"/>
      </w:pPr>
      <w:bookmarkStart w:id="32" w:name="_Toc522694235"/>
      <w:bookmarkStart w:id="33" w:name="_Toc16243"/>
      <w:bookmarkStart w:id="34" w:name="_Toc79760299"/>
      <w:bookmarkStart w:id="35" w:name="_Toc23376"/>
      <w:bookmarkStart w:id="36" w:name="_Toc523252177"/>
      <w:bookmarkStart w:id="37" w:name="_Toc351203494"/>
      <w:r>
        <w:rPr>
          <w:rFonts w:hint="eastAsia" w:ascii="黑体" w:hAnsi="宋体" w:eastAsia="黑体" w:cs="黑体"/>
          <w:b/>
          <w:bCs/>
          <w:color w:val="000000"/>
          <w:sz w:val="32"/>
          <w:szCs w:val="32"/>
        </w:rPr>
        <w:t>第一节 通用合同条款</w:t>
      </w:r>
      <w:bookmarkEnd w:id="32"/>
      <w:bookmarkEnd w:id="33"/>
      <w:bookmarkEnd w:id="34"/>
      <w:bookmarkEnd w:id="35"/>
      <w:bookmarkEnd w:id="36"/>
      <w:bookmarkEnd w:id="37"/>
    </w:p>
    <w:p w14:paraId="2660DA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38" w:name="_Toc20636"/>
      <w:bookmarkStart w:id="39" w:name="_Toc5107"/>
      <w:bookmarkStart w:id="40" w:name="_Toc523252178"/>
      <w:bookmarkStart w:id="41" w:name="_Toc522694236"/>
      <w:bookmarkStart w:id="42" w:name="_Toc79760300"/>
      <w:bookmarkStart w:id="43" w:name="_Toc351203495"/>
      <w:r>
        <w:rPr>
          <w:rFonts w:hint="eastAsia" w:ascii="黑体" w:hAnsi="宋体" w:eastAsia="黑体" w:cs="黑体"/>
          <w:color w:val="000000"/>
          <w:sz w:val="28"/>
          <w:szCs w:val="28"/>
        </w:rPr>
        <w:t>1.</w:t>
      </w:r>
      <w:bookmarkStart w:id="44" w:name="_Toc296503027"/>
      <w:bookmarkStart w:id="45" w:name="_Toc296346528"/>
      <w:r>
        <w:rPr>
          <w:rFonts w:hint="eastAsia" w:ascii="黑体" w:hAnsi="宋体" w:eastAsia="黑体" w:cs="黑体"/>
          <w:color w:val="000000"/>
          <w:sz w:val="28"/>
          <w:szCs w:val="28"/>
        </w:rPr>
        <w:t>一般约定</w:t>
      </w:r>
      <w:bookmarkEnd w:id="38"/>
      <w:bookmarkEnd w:id="39"/>
      <w:bookmarkEnd w:id="40"/>
      <w:bookmarkEnd w:id="41"/>
      <w:bookmarkEnd w:id="42"/>
      <w:bookmarkEnd w:id="43"/>
      <w:bookmarkEnd w:id="44"/>
      <w:bookmarkEnd w:id="45"/>
    </w:p>
    <w:p w14:paraId="66EEEE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6" w:name="_Toc522694237"/>
      <w:bookmarkStart w:id="47" w:name="_Toc296503028"/>
      <w:bookmarkStart w:id="48" w:name="_Toc337558728"/>
      <w:bookmarkStart w:id="49" w:name="_Toc296346529"/>
      <w:bookmarkStart w:id="50" w:name="_Toc351203496"/>
      <w:bookmarkStart w:id="51" w:name="_Toc523252179"/>
      <w:r>
        <w:rPr>
          <w:rFonts w:hint="eastAsia" w:ascii="黑体" w:hAnsi="宋体" w:eastAsia="黑体" w:cs="黑体"/>
          <w:color w:val="000000"/>
          <w:sz w:val="24"/>
          <w:szCs w:val="24"/>
        </w:rPr>
        <w:t>1.1 词语定义</w:t>
      </w:r>
      <w:bookmarkEnd w:id="46"/>
      <w:bookmarkEnd w:id="47"/>
      <w:bookmarkEnd w:id="48"/>
      <w:bookmarkEnd w:id="49"/>
      <w:bookmarkEnd w:id="50"/>
      <w:bookmarkEnd w:id="51"/>
    </w:p>
    <w:p w14:paraId="176938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通用合同条款、专用合同条款中的下列词语应具有本款所赋予的含义。</w:t>
      </w:r>
    </w:p>
    <w:p w14:paraId="204419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1.1.1 合同</w:t>
      </w:r>
    </w:p>
    <w:p w14:paraId="7E0476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1.1.1.1合同文件（或称合同）：指合同协议书、中标通知书、投标函及投标函附录、专用合同条款、通用合同条款、发包人要求、价格清单、承包人建议书，以及其他构成合同组成部分的文件。</w:t>
      </w:r>
    </w:p>
    <w:p w14:paraId="0C9070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1.1.1.2 合同协议书：指第1.5款所指的合同协议书。</w:t>
      </w:r>
    </w:p>
    <w:p w14:paraId="5BFDD9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1.1.1.3 中标通知书：指发包人通知承包人中标的函件。中标通知书随附的澄清、说明、补正事项纪要等，是中标通知书的组成部分。</w:t>
      </w:r>
    </w:p>
    <w:p w14:paraId="3B2611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1.1.1.4 投标函：指构成合同文件组成部分的由承包人填写并签署的投标函。</w:t>
      </w:r>
    </w:p>
    <w:p w14:paraId="36F752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1.1.1.5 投标函附录：指附在投标函后构成合同文件的投标函附录。</w:t>
      </w:r>
    </w:p>
    <w:p w14:paraId="0A856D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1.1.1.6 发包人要求：指构成合同文件组成部分的名为发包人要求的文件，包括招标项目的目的、范围、设计与其他技术标准和要求，以及合同双方当事人约定对其所作的修改或补充。</w:t>
      </w:r>
    </w:p>
    <w:p w14:paraId="59342B1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1.1.1.7价格清单：指构成合同文件组成部分的由承包人按规定的格式和要求填写并标明价格的清单。</w:t>
      </w:r>
    </w:p>
    <w:p w14:paraId="5CD273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1.1.1.8承包人建议书：指构成合同文件组成部分的名为承包人建议书的文件。承包人建议书由承包人随投标函一起提交。承包人建议书应包括承包人的设计图纸及相应说明等设计文件。</w:t>
      </w:r>
    </w:p>
    <w:p w14:paraId="10BD6C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1.1.1.9 其他合同文件：指经合同双方当事人确认构成合同文件的其他文件。</w:t>
      </w:r>
    </w:p>
    <w:p w14:paraId="4D8314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 合同当事人和人员</w:t>
      </w:r>
    </w:p>
    <w:p w14:paraId="56FD63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1.1.2.1 合同当事人：指发包人和（或）承包人。</w:t>
      </w:r>
    </w:p>
    <w:p w14:paraId="7B51400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1.1.2.2 发包人：指专用合同条款中指明并与承包人在合同协议书中签字的当事人。 </w:t>
      </w:r>
    </w:p>
    <w:p w14:paraId="689C3C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1.1.2.3 承包人：指与发包人签订合同协议书的当事人。</w:t>
      </w:r>
    </w:p>
    <w:p w14:paraId="51AB8E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1.1.2.4 承包人项目经理：指承包人指定代表承包人履行义务的负责人。</w:t>
      </w:r>
    </w:p>
    <w:p w14:paraId="693FAF4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1.1.2.5设计负责人：指承包人指定负责组织指导协调设计工作并具有相应资格的人员。</w:t>
      </w:r>
    </w:p>
    <w:p w14:paraId="45C8FC3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1.1.2.6施工负责人：指承包人指定负责组织指导协调施工工作并具有相应资格的人员。</w:t>
      </w:r>
    </w:p>
    <w:p w14:paraId="42D8B2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1.1.2.7 采购负责人：指承包人指定负责组织指导协调采购工作的人员。</w:t>
      </w:r>
    </w:p>
    <w:p w14:paraId="1E2DB5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1.1.2.8 分包人：指从承包人处分包合同中某一部分工作，并与其签订分包合同的分包人。</w:t>
      </w:r>
    </w:p>
    <w:p w14:paraId="42829C5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1.1.2.9 监理人：指在专用合同条款中指明的，受发包人委托对合同履行实施管理的法人或其他组织。属于国家强制监理的，监理人应当具有相应的监理资质。</w:t>
      </w:r>
    </w:p>
    <w:p w14:paraId="2E7AB3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1.1.2.10 总监理工程师：指由监理人委派对合同履行实施管理的全权负责人。</w:t>
      </w:r>
    </w:p>
    <w:p w14:paraId="6165C8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 工程和设备</w:t>
      </w:r>
    </w:p>
    <w:p w14:paraId="24360E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1.1.3.1 工程：指永久工程和（或）临时工程。</w:t>
      </w:r>
    </w:p>
    <w:p w14:paraId="7DBBF43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1.1.3.2 永久工程：指按合同约定建造并移交给发包人的工程，包括工程设备。</w:t>
      </w:r>
    </w:p>
    <w:p w14:paraId="18D7CAF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1.1.3.3 临时工程：指为完成合同约定的永久工程所修建的各类临时性工程，不包括施工设备。</w:t>
      </w:r>
    </w:p>
    <w:p w14:paraId="76B2A1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1.1.3.4 区段工程：指专用合同条款中指明特定范围的能单独接收并使用的永久工程。</w:t>
      </w:r>
    </w:p>
    <w:p w14:paraId="3054F2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1.1.3.5 工程设备：指构成或计划构成永久工程的机电设备、仪器装置、运载工具及其他类似的设备和装置。</w:t>
      </w:r>
    </w:p>
    <w:p w14:paraId="790E73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1.1.3.6 施工设备：指为完成合同约定的各项工作所需的设备、器具和其他物品，不包括临时工程和材料。</w:t>
      </w:r>
    </w:p>
    <w:p w14:paraId="0A59A4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1.1.3.7 临时设施：指为完成合同约定的各项工作所服务的临时性生产和生活设施。</w:t>
      </w:r>
    </w:p>
    <w:p w14:paraId="4165C0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1.1.3.8 承包人设备：指承包人为工程实施提供的施工设备。</w:t>
      </w:r>
    </w:p>
    <w:p w14:paraId="397F51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1.1.3.9 施工场地（或称工地、现场）：指用于合同工程施工的场所，以及在合同中指定作为施工场地组成部分的其他场所，包括永久占地和临时占地。</w:t>
      </w:r>
    </w:p>
    <w:p w14:paraId="1140E7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1.1.3.10 永久占地：指专用合同条款中指明为实施合同工程需永久占用的土地。</w:t>
      </w:r>
    </w:p>
    <w:p w14:paraId="7E6D0E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1.1.3.11 临时占地：指专用合同条款中指明为实施合同工程需临时占用的土地。</w:t>
      </w:r>
    </w:p>
    <w:p w14:paraId="00E309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 日期、检验和竣工</w:t>
      </w:r>
    </w:p>
    <w:p w14:paraId="6B4AF5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1.1.4.1 开始工作通知：指监理人按第11.1 款通知承包人开始工作的函件。</w:t>
      </w:r>
    </w:p>
    <w:p w14:paraId="0A000B1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1.1.4.2 开始工作日期：指监理人按第11.1款发出的开始工作通知中写明的开始工作日期。</w:t>
      </w:r>
    </w:p>
    <w:p w14:paraId="13D8A30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1.1.4.3 工期：指承包人在投标函中承诺的完成合同工作所需的期限，包括按第11.3款、第11.4款和第11.6款约定所做的变更。</w:t>
      </w:r>
    </w:p>
    <w:p w14:paraId="017292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1.1.4.4 竣工日期：指第1.1.4.3目约定工期届满时的日期。实际竣工日期以工程接收证书中写明的日期为准。</w:t>
      </w:r>
    </w:p>
    <w:p w14:paraId="29FD46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1.1.4.5 缺陷责任期：指履行第19.2款约定的缺陷责任的期限，具体期限在发包人要求中明确地包括根据第19.3 款约定所作的延长。</w:t>
      </w:r>
    </w:p>
    <w:p w14:paraId="1C8CF6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1.1.4.6 基准日期：指投标截止之日前28天的日期。</w:t>
      </w:r>
    </w:p>
    <w:p w14:paraId="263C79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1.1.4.7 天：除特别指明外，指日历天。合同中按天计算时间的，开始当天不计入，从次日开始计算。期限最后一天的截止时间为当天24:00。</w:t>
      </w:r>
    </w:p>
    <w:p w14:paraId="763A91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1.1.4.8 竣工试验：是指在工程竣工验收前，根据第18.1款要求进行的试验。</w:t>
      </w:r>
    </w:p>
    <w:p w14:paraId="322194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1.1.4.9 竣工验收：是指承包人完成了全部合同工作后，发包人按合同要求进行的验收。</w:t>
      </w:r>
    </w:p>
    <w:p w14:paraId="555373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1.1.4.10 竣工后试验：是指在工程竣工验收后，根据第18.9款约定进行的试验。</w:t>
      </w:r>
    </w:p>
    <w:p w14:paraId="17BE61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1.1.4.11国家验收：是指政府有关部门根据法律、规范、规程和政策要求，针对发包人全面组织实施的整个工程正式交付投运前的验收。</w:t>
      </w:r>
    </w:p>
    <w:p w14:paraId="570491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1.1.5 合同价格和费用</w:t>
      </w:r>
    </w:p>
    <w:p w14:paraId="257DD7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1.1.5.1 签约合同价：指中标通知书明确的并在签订合同时于合同协议书中写明的，包括了暂列金额、暂估价的合同总金额。</w:t>
      </w:r>
    </w:p>
    <w:p w14:paraId="50297C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1.1.5.2 合同价格：指承包人按合同约定完成了包括缺陷责任期内的全部承包工作后，发包人应付给承包人的金额，包括在履行合同过程中按合同约定进行的变更和调整。</w:t>
      </w:r>
    </w:p>
    <w:p w14:paraId="2140AD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1.1.5.3 费用：指为履行合同所发生的或将要发生的所有合理开支，包括管理费和应分摊的其他费用，但不包括利润。</w:t>
      </w:r>
    </w:p>
    <w:p w14:paraId="6A34A7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2" w:name="_Toc296503029"/>
      <w:bookmarkStart w:id="53" w:name="_Toc522694238"/>
      <w:bookmarkStart w:id="54" w:name="_Toc296346530"/>
      <w:bookmarkStart w:id="55" w:name="_Toc523252180"/>
      <w:bookmarkStart w:id="56" w:name="_Toc337558729"/>
      <w:bookmarkStart w:id="57" w:name="_Toc351203497"/>
      <w:r>
        <w:rPr>
          <w:rFonts w:hint="eastAsia" w:ascii="宋体" w:hAnsi="宋体" w:eastAsia="宋体" w:cs="宋体"/>
          <w:color w:val="000000"/>
          <w:sz w:val="24"/>
          <w:szCs w:val="24"/>
        </w:rPr>
        <w:t>1.1.5.4 暂列金额：指招标文件中给定的，用于在签订协议书时尚未确定或不可预见变更的设计、施工及其所需材料、工程设备、服务等的金额，包括以计日工方式支付的金额。</w:t>
      </w:r>
      <w:bookmarkEnd w:id="52"/>
      <w:bookmarkEnd w:id="53"/>
      <w:bookmarkEnd w:id="54"/>
      <w:bookmarkEnd w:id="55"/>
      <w:bookmarkEnd w:id="56"/>
      <w:bookmarkEnd w:id="57"/>
    </w:p>
    <w:p w14:paraId="1699D9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1.1.5.5 暂估价：指招标文件中给定的，用于支付必然发生但暂时不能确定价格的专业服务、材料、设备专业工程的金额。</w:t>
      </w:r>
    </w:p>
    <w:p w14:paraId="4DD8E6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1.1.5.6 计日工：指对零星工作采取的一种计价方式，按合同中的计日工子项目及其单价计价付款。</w:t>
      </w:r>
    </w:p>
    <w:p w14:paraId="19F9A8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1.1.5.7 质量保证金：指按第17.4.1项约定用于保证在缺陷责任期内履行缺陷修复义务的金额。</w:t>
      </w:r>
    </w:p>
    <w:p w14:paraId="16C37C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1.1.6 其他</w:t>
      </w:r>
    </w:p>
    <w:p w14:paraId="1DDFA9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1.1.6.1 书面形式：指合同文件、信函、传真、电子数据交换和电子邮件等可以有形地表现所载内容的形式。</w:t>
      </w:r>
    </w:p>
    <w:p w14:paraId="59AED1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1.1.6.2 承包人文件：指由承包人根据合同应提交的所有图纸、手册、模型、计算书、软件和其他文件。</w:t>
      </w:r>
    </w:p>
    <w:p w14:paraId="4FA349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1.1.6.3 变更是指根据第15条的约定，经指示或批准对发包人要求或工程所做的改变。</w:t>
      </w:r>
    </w:p>
    <w:p w14:paraId="674BD7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黑体" w:hAnsi="宋体" w:eastAsia="黑体" w:cs="黑体"/>
          <w:color w:val="000000"/>
          <w:sz w:val="24"/>
          <w:szCs w:val="24"/>
        </w:rPr>
        <w:t>1.2 语言文字</w:t>
      </w:r>
    </w:p>
    <w:p w14:paraId="47E24D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合同使用的语言文字为中文。专用术语使用外文的，应附有中文注释，并以中文注释所述含义为准。</w:t>
      </w:r>
    </w:p>
    <w:p w14:paraId="61A179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8" w:name="_Toc337558730"/>
      <w:bookmarkStart w:id="59" w:name="_Toc523252181"/>
      <w:bookmarkStart w:id="60" w:name="_Toc296503030"/>
      <w:bookmarkStart w:id="61" w:name="_Toc351203498"/>
      <w:bookmarkStart w:id="62" w:name="_Toc296346531"/>
      <w:bookmarkStart w:id="63" w:name="_Toc522694239"/>
      <w:r>
        <w:rPr>
          <w:rFonts w:hint="eastAsia" w:ascii="黑体" w:hAnsi="宋体" w:eastAsia="黑体" w:cs="黑体"/>
          <w:color w:val="000000"/>
          <w:sz w:val="24"/>
          <w:szCs w:val="24"/>
        </w:rPr>
        <w:t>1.3 法律</w:t>
      </w:r>
      <w:bookmarkEnd w:id="58"/>
      <w:bookmarkEnd w:id="59"/>
      <w:bookmarkEnd w:id="60"/>
      <w:bookmarkEnd w:id="61"/>
      <w:bookmarkEnd w:id="62"/>
      <w:bookmarkEnd w:id="63"/>
    </w:p>
    <w:p w14:paraId="296712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4" w:name="_Toc351203499"/>
      <w:bookmarkStart w:id="65" w:name="_Toc522694240"/>
      <w:bookmarkStart w:id="66" w:name="_Toc523252182"/>
      <w:r>
        <w:rPr>
          <w:rFonts w:hint="eastAsia" w:ascii="宋体" w:hAnsi="宋体" w:eastAsia="宋体" w:cs="宋体"/>
          <w:color w:val="000000"/>
          <w:sz w:val="24"/>
          <w:szCs w:val="24"/>
        </w:rPr>
        <w:t>适用于合同的法律包括中华人民共和国法律、行政法规、部门规章，以及工程所在地的地方性法规、自治条例、单行条例和地方政府规章。</w:t>
      </w:r>
      <w:bookmarkEnd w:id="64"/>
      <w:bookmarkEnd w:id="65"/>
      <w:bookmarkEnd w:id="66"/>
    </w:p>
    <w:p w14:paraId="3DE3EE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7" w:name="_Toc522694241"/>
      <w:bookmarkStart w:id="68" w:name="_Toc523252183"/>
      <w:bookmarkStart w:id="69" w:name="_Toc351203500"/>
      <w:bookmarkStart w:id="70" w:name="_Toc300835036"/>
      <w:bookmarkStart w:id="71" w:name="_Toc247527640"/>
      <w:bookmarkStart w:id="72" w:name="_Toc247514039"/>
      <w:r>
        <w:rPr>
          <w:rFonts w:hint="eastAsia" w:ascii="黑体" w:hAnsi="宋体" w:eastAsia="黑体" w:cs="黑体"/>
          <w:color w:val="000000"/>
          <w:sz w:val="24"/>
          <w:szCs w:val="24"/>
        </w:rPr>
        <w:t>1.4 合同文件的优先顺序</w:t>
      </w:r>
      <w:bookmarkEnd w:id="67"/>
      <w:bookmarkEnd w:id="68"/>
      <w:bookmarkEnd w:id="69"/>
      <w:bookmarkEnd w:id="70"/>
      <w:bookmarkEnd w:id="71"/>
      <w:bookmarkEnd w:id="72"/>
    </w:p>
    <w:p w14:paraId="27C614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组成合同的各项文件应互相解释，互为说明。除专用合同条款另有约定外，解释合同文件的优先顺序如下：</w:t>
      </w:r>
    </w:p>
    <w:p w14:paraId="158421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（1）合同协议书；</w:t>
      </w:r>
    </w:p>
    <w:p w14:paraId="6E3288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（2）中标通知书；</w:t>
      </w:r>
    </w:p>
    <w:p w14:paraId="7DCCA0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（3）专用合同条款及合同附件；</w:t>
      </w:r>
    </w:p>
    <w:p w14:paraId="0296812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（4）通用合同条款；</w:t>
      </w:r>
    </w:p>
    <w:p w14:paraId="7D3AAE5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（5）技术标准和要求，包括但不限于技术文件及技术文件附件</w:t>
      </w:r>
    </w:p>
    <w:p w14:paraId="5A0A05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（6）图纸承包人建议书；</w:t>
      </w:r>
    </w:p>
    <w:p w14:paraId="57FD56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（7）合同价格明细；</w:t>
      </w:r>
    </w:p>
    <w:p w14:paraId="341A97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（8）发包人要求，包括本项目可研报告（终版）；</w:t>
      </w:r>
    </w:p>
    <w:p w14:paraId="07BBC9F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（9）投标函及投标函附录；</w:t>
      </w:r>
    </w:p>
    <w:p w14:paraId="7F838A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（10）招标文件；</w:t>
      </w:r>
    </w:p>
    <w:p w14:paraId="075500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4"/>
          <w:szCs w:val="24"/>
        </w:rPr>
        <w:t>（11）其他合同文件。</w:t>
      </w:r>
    </w:p>
    <w:p w14:paraId="10334CD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黑体" w:hAnsi="宋体" w:eastAsia="黑体" w:cs="黑体"/>
          <w:color w:val="000000"/>
          <w:sz w:val="24"/>
          <w:szCs w:val="24"/>
        </w:rPr>
        <w:t>1</w:t>
      </w:r>
      <w:bookmarkStart w:id="73" w:name="_Toc296503031"/>
      <w:bookmarkStart w:id="74" w:name="_Toc296346532"/>
      <w:bookmarkStart w:id="75" w:name="_Toc337558731"/>
      <w:r>
        <w:rPr>
          <w:rFonts w:hint="eastAsia" w:ascii="黑体" w:hAnsi="宋体" w:eastAsia="黑体" w:cs="黑体"/>
          <w:color w:val="000000"/>
          <w:sz w:val="24"/>
          <w:szCs w:val="24"/>
        </w:rPr>
        <w:t>.5 合同协议书</w:t>
      </w:r>
      <w:bookmarkEnd w:id="73"/>
      <w:bookmarkEnd w:id="74"/>
      <w:bookmarkEnd w:id="75"/>
    </w:p>
    <w:p w14:paraId="7AE39D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76" w:name="_Toc522694242"/>
      <w:bookmarkStart w:id="77" w:name="_Toc351203501"/>
      <w:bookmarkStart w:id="78" w:name="_Toc523252184"/>
      <w:r>
        <w:rPr>
          <w:rFonts w:hint="eastAsia" w:ascii="宋体" w:hAnsi="宋体" w:eastAsia="宋体" w:cs="宋体"/>
          <w:color w:val="000000"/>
          <w:sz w:val="24"/>
          <w:szCs w:val="24"/>
        </w:rPr>
        <w:t>承包人按中标通知书规定的时间与发包人签订合同协议书。除法律另有规定或合同另有约定外，发包人和承包人的法定代表人或其委托代理人在合同协议书上签字并盖单位章后，合同生效。</w:t>
      </w:r>
      <w:bookmarkEnd w:id="76"/>
      <w:bookmarkEnd w:id="77"/>
      <w:bookmarkEnd w:id="78"/>
    </w:p>
    <w:p w14:paraId="78703C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黑体" w:hAnsi="宋体" w:eastAsia="黑体" w:cs="黑体"/>
          <w:color w:val="000000"/>
          <w:sz w:val="24"/>
          <w:szCs w:val="24"/>
        </w:rPr>
        <w:t>1</w:t>
      </w:r>
      <w:bookmarkStart w:id="79" w:name="_Toc296346533"/>
      <w:bookmarkStart w:id="80" w:name="_Toc296503032"/>
      <w:bookmarkStart w:id="81" w:name="_Toc337558732"/>
      <w:r>
        <w:rPr>
          <w:rFonts w:hint="eastAsia" w:ascii="黑体" w:hAnsi="宋体" w:eastAsia="黑体" w:cs="黑体"/>
          <w:color w:val="000000"/>
          <w:sz w:val="24"/>
          <w:szCs w:val="24"/>
        </w:rPr>
        <w:t>.6 文件的提供和照管</w:t>
      </w:r>
      <w:bookmarkEnd w:id="79"/>
      <w:bookmarkEnd w:id="80"/>
      <w:bookmarkEnd w:id="81"/>
    </w:p>
    <w:p w14:paraId="3F7135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82" w:name="_Toc523252185"/>
      <w:bookmarkStart w:id="83" w:name="_Toc522694243"/>
      <w:bookmarkStart w:id="84" w:name="_Toc351203502"/>
      <w:r>
        <w:rPr>
          <w:rFonts w:hint="eastAsia" w:ascii="宋体" w:hAnsi="宋体" w:eastAsia="宋体" w:cs="宋体"/>
          <w:color w:val="000000"/>
          <w:sz w:val="24"/>
          <w:szCs w:val="24"/>
        </w:rPr>
        <w:t>1.6.1 承包人文件的提供</w:t>
      </w:r>
      <w:bookmarkEnd w:id="82"/>
      <w:bookmarkEnd w:id="83"/>
      <w:bookmarkEnd w:id="84"/>
    </w:p>
    <w:p w14:paraId="55A57D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除专用合同条款另有约定外，承包人应在合理的期限内按照合同约定的数量向监理人提供承包人文件。合同约定承包人文件应批准的，监理人应当在合同约定的期限内批复。承包人的设计文件的提供和审查按第5.3款和第5.5款的约定执行。</w:t>
      </w:r>
    </w:p>
    <w:p w14:paraId="6B5CDF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1.6.2 发包人提供的文件</w:t>
      </w:r>
    </w:p>
    <w:p w14:paraId="72C60AF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按专用合同条款约定由发包人提供的文件，包括前期工作相关文件、环境保护、气象水文、地质条件等，发包人应按约定的数量和期限交给承包人。由于发包人未按时提供文件造成工期延误的，按第11.3款约定执行。</w:t>
      </w:r>
    </w:p>
    <w:p w14:paraId="5D32EF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1.6.3 文件错误的通知</w:t>
      </w:r>
    </w:p>
    <w:p w14:paraId="257097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任何一方发现了文件中存在的明显错误或疏忽，应及时通知另一方。</w:t>
      </w:r>
    </w:p>
    <w:p w14:paraId="12DDD37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1.6.4 文件的照管</w:t>
      </w:r>
    </w:p>
    <w:p w14:paraId="3A4C30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承包人应在现场保留一份合同、发包人要求中列出的所有文件、承包人文件、变更以及其他根据合同收发的往来信函。发包人有权在任何合理的时间查阅和使用上述所有文件。</w:t>
      </w:r>
    </w:p>
    <w:p w14:paraId="0F2176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w:t>
      </w:r>
      <w:bookmarkStart w:id="85" w:name="_Toc296503033"/>
      <w:bookmarkStart w:id="86" w:name="_Toc337558733"/>
      <w:bookmarkStart w:id="87" w:name="_Toc296346534"/>
      <w:r>
        <w:rPr>
          <w:rFonts w:hint="eastAsia" w:ascii="黑体" w:hAnsi="宋体" w:eastAsia="黑体" w:cs="黑体"/>
          <w:color w:val="000000"/>
          <w:sz w:val="24"/>
          <w:szCs w:val="24"/>
        </w:rPr>
        <w:t>.7 联络</w:t>
      </w:r>
      <w:bookmarkEnd w:id="85"/>
      <w:bookmarkEnd w:id="86"/>
      <w:bookmarkEnd w:id="87"/>
    </w:p>
    <w:p w14:paraId="44C153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1.7.1 与合同有关的通知、批准、证明、证书、指示、要求、请求、同意、意见、确定和决定等，均应采用书面形式。</w:t>
      </w:r>
    </w:p>
    <w:p w14:paraId="6980CF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8" w:name="_Toc351203503"/>
      <w:bookmarkStart w:id="89" w:name="_Toc522694244"/>
      <w:bookmarkStart w:id="90" w:name="_Toc523252186"/>
      <w:r>
        <w:rPr>
          <w:rFonts w:hint="eastAsia" w:ascii="宋体" w:hAnsi="宋体" w:eastAsia="宋体" w:cs="宋体"/>
          <w:color w:val="000000"/>
          <w:sz w:val="24"/>
          <w:szCs w:val="24"/>
        </w:rPr>
        <w:t>1.7.2第1.7.1 项中的通知、批准、证明、证书、指示、要求、请求、同意、意见、确定和决定等来往函件，均应在合同约定的期限内送达指定的地点和指定的接收人，并办理签收手续。</w:t>
      </w:r>
      <w:bookmarkEnd w:id="88"/>
      <w:bookmarkEnd w:id="89"/>
      <w:bookmarkEnd w:id="90"/>
    </w:p>
    <w:p w14:paraId="5005CB2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91" w:name="_Toc20145933"/>
      <w:bookmarkStart w:id="92" w:name="_Toc523264393"/>
      <w:bookmarkStart w:id="93" w:name="_Toc7075267"/>
      <w:bookmarkStart w:id="94" w:name="_Toc523264607"/>
      <w:r>
        <w:rPr>
          <w:rFonts w:hint="eastAsia" w:ascii="黑体" w:hAnsi="宋体" w:eastAsia="黑体" w:cs="黑体"/>
          <w:color w:val="000000"/>
          <w:sz w:val="24"/>
          <w:szCs w:val="24"/>
        </w:rPr>
        <w:t xml:space="preserve">1.8 </w:t>
      </w:r>
      <w:bookmarkEnd w:id="91"/>
      <w:bookmarkEnd w:id="92"/>
      <w:bookmarkEnd w:id="93"/>
      <w:bookmarkEnd w:id="94"/>
      <w:r>
        <w:rPr>
          <w:rFonts w:hint="eastAsia" w:ascii="黑体" w:hAnsi="宋体" w:eastAsia="黑体" w:cs="黑体"/>
          <w:color w:val="000000"/>
          <w:sz w:val="24"/>
          <w:szCs w:val="24"/>
        </w:rPr>
        <w:t>转让</w:t>
      </w:r>
    </w:p>
    <w:p w14:paraId="5826F8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3BC486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1.9 严禁贿赂</w:t>
      </w:r>
    </w:p>
    <w:p w14:paraId="2695D7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合同双方当事人不得以贿赂或变相贿赂的方式，谋取不当利益或损害对方权益。因贿赂造成对方损失的，行为人应赔偿损失，并承担相应的法律责任。</w:t>
      </w:r>
    </w:p>
    <w:p w14:paraId="118AEB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1.10 化石、文物</w:t>
      </w:r>
    </w:p>
    <w:p w14:paraId="1AF0B3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5A1971F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1.10.2 承包人发现文物后不及时报告或隐瞒不报，致使文物丢失或损坏的，应赔偿损失，并承担相应的法律责任。</w:t>
      </w:r>
    </w:p>
    <w:p w14:paraId="3E8347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1.11 知识产权</w:t>
      </w:r>
    </w:p>
    <w:p w14:paraId="60409C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1.11.1除专用合同条款另有约定外，承包人完成的设计工作成果和建造完成的建筑物，除署名权以外的著作权以及建筑物形象使用收益等其他知识产权均归发包人享有。</w:t>
      </w:r>
    </w:p>
    <w:p w14:paraId="2D7FB8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1.11.2 承包人在进行设计，以及使用任何材料、承包人设备、工程设备或采用施工工艺时，因侵犯专利权或其他知识产权所引起的责任，由承包人承担。</w:t>
      </w:r>
    </w:p>
    <w:p w14:paraId="382F01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1.11.3 承包人在投标文件中采用专利技术的，专利技术的使用费包含在投标报价内。</w:t>
      </w:r>
    </w:p>
    <w:p w14:paraId="537D3EC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1.12 文件及信息的保密</w:t>
      </w:r>
    </w:p>
    <w:p w14:paraId="5185B8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未经对方同意，任何一方当事人不得将有关文件、技术秘密、需要保密的资料和信息泄露给他人或公开发表与引用。</w:t>
      </w:r>
    </w:p>
    <w:p w14:paraId="566206D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1.13 发包人要求中的错误（A）</w:t>
      </w:r>
    </w:p>
    <w:p w14:paraId="669C53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1.13.1承包人应认真阅读、复核发包人要求，发现错误的，应及时书面通知发包人。</w:t>
      </w:r>
    </w:p>
    <w:p w14:paraId="5707D9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1.13.2发包人要求中的错误导致承包人增加费用和（或）工期延误的，发包人应承担由此增加的费用和（或）工期延误，并向承包人支付合理利润。</w:t>
      </w:r>
    </w:p>
    <w:p w14:paraId="3FFFF0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1.13发包人要求中的错误（B）</w:t>
      </w:r>
    </w:p>
    <w:p w14:paraId="3728952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1.13.1 承包人应认真阅读、复核发包人要求，发现错误的，应及时书面通知发包人。发包人做相应修改的，按照第15条约定处理。对确实存在的错误，发包人坚持不作修改的，应承担由此导致承包人增加的费用和（或）延误的工期。</w:t>
      </w:r>
    </w:p>
    <w:p w14:paraId="34B1D4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1.13.2 承包人未发现发包人要求中存在错误的，承包人自行承担由此导致的费用增加和（或） 工期延误，但专用合同条款另有约定的除外。</w:t>
      </w:r>
    </w:p>
    <w:p w14:paraId="6CAD18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1.13.3 无论承包人发现与否，在任何情况下，发包人要求中的下列错误导致承包人增加的费用和（或）延误的工期，由发包人承担，并向承包人支付合理利润。</w:t>
      </w:r>
    </w:p>
    <w:p w14:paraId="364D0D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（1）发包人要求中引用的原始数据和资料；</w:t>
      </w:r>
    </w:p>
    <w:p w14:paraId="486030E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（2）对工程或其任何部分的功能要求；</w:t>
      </w:r>
    </w:p>
    <w:p w14:paraId="6C83D5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（3）对工程的工艺安排或要求；</w:t>
      </w:r>
    </w:p>
    <w:p w14:paraId="0F8163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（4）试验和检验标准；</w:t>
      </w:r>
    </w:p>
    <w:p w14:paraId="1E0A3D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（5）除合同另有约定外，承包人无法核实的数据和资料。</w:t>
      </w:r>
    </w:p>
    <w:p w14:paraId="2484C0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1.14 发包人要求违法</w:t>
      </w:r>
    </w:p>
    <w:p w14:paraId="0AE6A2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77B2F7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95" w:name="_Toc29185"/>
      <w:bookmarkStart w:id="96" w:name="_Toc79760301"/>
      <w:bookmarkStart w:id="97" w:name="_Toc20289"/>
      <w:bookmarkStart w:id="98" w:name="_Toc522694249"/>
      <w:bookmarkStart w:id="99" w:name="_Toc351203509"/>
      <w:bookmarkStart w:id="100" w:name="_Toc523252192"/>
      <w:r>
        <w:rPr>
          <w:rFonts w:hint="eastAsia" w:ascii="黑体" w:hAnsi="宋体" w:eastAsia="黑体" w:cs="黑体"/>
          <w:color w:val="000000"/>
          <w:sz w:val="28"/>
          <w:szCs w:val="28"/>
        </w:rPr>
        <w:t>2</w:t>
      </w:r>
      <w:bookmarkStart w:id="101" w:name="OLE_LINK2"/>
      <w:bookmarkStart w:id="102" w:name="_Toc296346539"/>
      <w:bookmarkStart w:id="103" w:name="_Toc337558739"/>
      <w:bookmarkStart w:id="104" w:name="_Toc296503038"/>
      <w:r>
        <w:rPr>
          <w:rFonts w:hint="eastAsia" w:ascii="黑体" w:hAnsi="宋体" w:eastAsia="黑体" w:cs="黑体"/>
          <w:color w:val="000000"/>
          <w:sz w:val="28"/>
          <w:szCs w:val="28"/>
        </w:rPr>
        <w:t>. 发包人</w:t>
      </w:r>
      <w:bookmarkEnd w:id="101"/>
      <w:bookmarkEnd w:id="102"/>
      <w:bookmarkEnd w:id="103"/>
      <w:r>
        <w:rPr>
          <w:rFonts w:hint="eastAsia" w:ascii="黑体" w:hAnsi="宋体" w:eastAsia="黑体" w:cs="黑体"/>
          <w:color w:val="000000"/>
          <w:sz w:val="28"/>
          <w:szCs w:val="28"/>
        </w:rPr>
        <w:t>义务</w:t>
      </w:r>
      <w:bookmarkEnd w:id="95"/>
      <w:bookmarkEnd w:id="96"/>
      <w:bookmarkEnd w:id="97"/>
      <w:bookmarkEnd w:id="98"/>
      <w:bookmarkEnd w:id="99"/>
      <w:bookmarkEnd w:id="100"/>
      <w:bookmarkEnd w:id="104"/>
    </w:p>
    <w:p w14:paraId="73EEADC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05" w:name="_Toc522694250"/>
      <w:bookmarkStart w:id="106" w:name="_Toc523252193"/>
      <w:bookmarkStart w:id="107" w:name="_Toc351203510"/>
      <w:r>
        <w:rPr>
          <w:rFonts w:hint="eastAsia" w:ascii="黑体" w:hAnsi="宋体" w:eastAsia="黑体" w:cs="黑体"/>
          <w:color w:val="000000"/>
          <w:sz w:val="24"/>
          <w:szCs w:val="24"/>
        </w:rPr>
        <w:t>2</w:t>
      </w:r>
      <w:bookmarkStart w:id="108" w:name="_Toc296346540"/>
      <w:bookmarkStart w:id="109" w:name="_Toc296503039"/>
      <w:bookmarkStart w:id="110" w:name="_Toc337558740"/>
      <w:r>
        <w:rPr>
          <w:rFonts w:hint="eastAsia" w:ascii="黑体" w:hAnsi="宋体" w:eastAsia="黑体" w:cs="黑体"/>
          <w:color w:val="000000"/>
          <w:sz w:val="24"/>
          <w:szCs w:val="24"/>
        </w:rPr>
        <w:t xml:space="preserve">.1 </w:t>
      </w:r>
      <w:bookmarkEnd w:id="108"/>
      <w:bookmarkEnd w:id="109"/>
      <w:bookmarkEnd w:id="110"/>
      <w:r>
        <w:rPr>
          <w:rFonts w:hint="eastAsia" w:ascii="黑体" w:hAnsi="宋体" w:eastAsia="黑体" w:cs="黑体"/>
          <w:color w:val="000000"/>
          <w:sz w:val="24"/>
          <w:szCs w:val="24"/>
        </w:rPr>
        <w:t>遵守法律</w:t>
      </w:r>
      <w:bookmarkEnd w:id="105"/>
      <w:bookmarkEnd w:id="106"/>
      <w:bookmarkEnd w:id="107"/>
    </w:p>
    <w:p w14:paraId="7A2629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11" w:name="_Toc522694251"/>
      <w:bookmarkStart w:id="112" w:name="_Toc351203511"/>
      <w:bookmarkStart w:id="113" w:name="_Toc523252194"/>
      <w:r>
        <w:rPr>
          <w:rFonts w:hint="eastAsia" w:ascii="宋体" w:hAnsi="宋体" w:eastAsia="宋体" w:cs="宋体"/>
          <w:color w:val="000000"/>
          <w:sz w:val="24"/>
          <w:szCs w:val="24"/>
        </w:rPr>
        <w:t>发包人在履行合同过程中应遵守法律，并保证承包人免于承担因发包人违反法律而引起的任何责任。</w:t>
      </w:r>
      <w:bookmarkEnd w:id="111"/>
      <w:bookmarkEnd w:id="112"/>
      <w:bookmarkEnd w:id="113"/>
    </w:p>
    <w:p w14:paraId="7E2024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2.2发出承包人开始工作通知</w:t>
      </w:r>
    </w:p>
    <w:p w14:paraId="346113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14" w:name="_Toc351203512"/>
      <w:bookmarkStart w:id="115" w:name="_Toc522694252"/>
      <w:bookmarkStart w:id="116" w:name="_Toc523252195"/>
      <w:r>
        <w:rPr>
          <w:rFonts w:hint="eastAsia" w:ascii="宋体" w:hAnsi="宋体" w:eastAsia="宋体" w:cs="宋体"/>
          <w:color w:val="000000"/>
          <w:sz w:val="24"/>
          <w:szCs w:val="24"/>
        </w:rPr>
        <w:t>发包人应委托监理人按第11.1 款的约定向承包人发出开始工作通知。</w:t>
      </w:r>
      <w:bookmarkEnd w:id="114"/>
      <w:bookmarkEnd w:id="115"/>
      <w:bookmarkEnd w:id="116"/>
    </w:p>
    <w:p w14:paraId="3FEA56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2.3 提供施工现场</w:t>
      </w:r>
    </w:p>
    <w:p w14:paraId="041222E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17" w:name="_Toc351203513"/>
      <w:bookmarkStart w:id="118" w:name="_Toc522694253"/>
      <w:bookmarkStart w:id="119" w:name="_Toc523252196"/>
      <w:r>
        <w:rPr>
          <w:rFonts w:hint="eastAsia" w:ascii="宋体" w:hAnsi="宋体" w:eastAsia="宋体" w:cs="宋体"/>
          <w:color w:val="000000"/>
          <w:sz w:val="24"/>
          <w:szCs w:val="24"/>
        </w:rPr>
        <w:t>发包人应按专用合同条款约定向承包人提供施工场地及进场施工条件，并明确与承包人的交接界面。</w:t>
      </w:r>
      <w:bookmarkEnd w:id="117"/>
      <w:bookmarkEnd w:id="118"/>
      <w:bookmarkEnd w:id="119"/>
    </w:p>
    <w:p w14:paraId="38CCF61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2</w:t>
      </w:r>
      <w:bookmarkStart w:id="120" w:name="_Toc337558741"/>
      <w:bookmarkStart w:id="121" w:name="_Toc296346541"/>
      <w:bookmarkStart w:id="122" w:name="_Toc296503040"/>
      <w:r>
        <w:rPr>
          <w:rFonts w:hint="eastAsia" w:ascii="黑体" w:hAnsi="宋体" w:eastAsia="黑体" w:cs="黑体"/>
          <w:color w:val="000000"/>
          <w:sz w:val="24"/>
          <w:szCs w:val="24"/>
        </w:rPr>
        <w:t xml:space="preserve">.4 </w:t>
      </w:r>
      <w:bookmarkEnd w:id="120"/>
      <w:bookmarkEnd w:id="121"/>
      <w:bookmarkEnd w:id="122"/>
      <w:r>
        <w:rPr>
          <w:rFonts w:hint="eastAsia" w:ascii="黑体" w:hAnsi="宋体" w:eastAsia="黑体" w:cs="黑体"/>
          <w:color w:val="000000"/>
          <w:sz w:val="24"/>
          <w:szCs w:val="24"/>
        </w:rPr>
        <w:t>办理证件和批件</w:t>
      </w:r>
    </w:p>
    <w:p w14:paraId="14284C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23" w:name="_Toc296346546"/>
      <w:bookmarkStart w:id="124" w:name="_Toc337558746"/>
      <w:bookmarkStart w:id="125" w:name="_Toc296503045"/>
      <w:bookmarkStart w:id="126" w:name="_Toc351203518"/>
      <w:bookmarkStart w:id="127" w:name="_Toc522694258"/>
      <w:bookmarkStart w:id="128" w:name="_Toc523252201"/>
      <w:r>
        <w:rPr>
          <w:rFonts w:hint="eastAsia" w:ascii="宋体" w:hAnsi="宋体" w:eastAsia="宋体" w:cs="宋体"/>
          <w:color w:val="000000"/>
          <w:sz w:val="24"/>
          <w:szCs w:val="24"/>
        </w:rPr>
        <w:t>法律规定和（或）合同约定由发包人负责办理的工程建设项目必须履行的各类审批、核准或备案手续，发包人应按时办理。</w:t>
      </w:r>
      <w:bookmarkEnd w:id="123"/>
      <w:bookmarkEnd w:id="124"/>
      <w:bookmarkEnd w:id="125"/>
      <w:bookmarkEnd w:id="126"/>
      <w:bookmarkEnd w:id="127"/>
      <w:bookmarkEnd w:id="128"/>
    </w:p>
    <w:p w14:paraId="69347A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法律规定和（或）合同约定由承包人负责的有关设计、施工证件和批件，发包人应给予必要的协助。</w:t>
      </w:r>
    </w:p>
    <w:p w14:paraId="366D15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29" w:name="_Toc300835053"/>
      <w:bookmarkStart w:id="130" w:name="_Toc247514054"/>
      <w:bookmarkStart w:id="131" w:name="_Toc247527655"/>
      <w:r>
        <w:rPr>
          <w:rFonts w:hint="eastAsia" w:ascii="黑体" w:hAnsi="宋体" w:eastAsia="黑体" w:cs="黑体"/>
          <w:color w:val="000000"/>
          <w:sz w:val="24"/>
          <w:szCs w:val="24"/>
        </w:rPr>
        <w:t>2.5</w:t>
      </w:r>
      <w:bookmarkEnd w:id="129"/>
      <w:bookmarkEnd w:id="130"/>
      <w:bookmarkStart w:id="132" w:name="_Toc247527656"/>
      <w:bookmarkStart w:id="133" w:name="_Toc247514055"/>
      <w:r>
        <w:rPr>
          <w:rFonts w:hint="eastAsia" w:ascii="黑体" w:hAnsi="宋体" w:eastAsia="黑体" w:cs="黑体"/>
          <w:color w:val="000000"/>
          <w:sz w:val="24"/>
          <w:szCs w:val="24"/>
        </w:rPr>
        <w:t xml:space="preserve"> 支付合同价款</w:t>
      </w:r>
      <w:bookmarkEnd w:id="131"/>
      <w:bookmarkEnd w:id="132"/>
      <w:bookmarkEnd w:id="133"/>
    </w:p>
    <w:p w14:paraId="7E3426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发包人应按合同约定向承包人及时支付合同价款。专用合同条款对发包人工程款支付担保有约定的，从其约定。</w:t>
      </w:r>
    </w:p>
    <w:p w14:paraId="53F961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34" w:name="_Toc300835054"/>
      <w:bookmarkStart w:id="135" w:name="_Toc247514056"/>
      <w:bookmarkStart w:id="136" w:name="_Toc247527657"/>
      <w:r>
        <w:rPr>
          <w:rFonts w:hint="eastAsia" w:ascii="黑体" w:hAnsi="宋体" w:eastAsia="黑体" w:cs="黑体"/>
          <w:color w:val="000000"/>
          <w:sz w:val="24"/>
          <w:szCs w:val="24"/>
        </w:rPr>
        <w:t>2.6 组织竣工验收</w:t>
      </w:r>
      <w:bookmarkEnd w:id="134"/>
      <w:bookmarkEnd w:id="135"/>
      <w:bookmarkEnd w:id="136"/>
    </w:p>
    <w:p w14:paraId="0BF7ED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发包人应按合同约定及时组织竣工验收。</w:t>
      </w:r>
    </w:p>
    <w:p w14:paraId="26E2B04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37" w:name="_Toc300835055"/>
      <w:bookmarkStart w:id="138" w:name="_Toc247514057"/>
      <w:bookmarkStart w:id="139" w:name="_Toc247527658"/>
      <w:r>
        <w:rPr>
          <w:rFonts w:hint="eastAsia" w:ascii="黑体" w:hAnsi="宋体" w:eastAsia="黑体" w:cs="黑体"/>
          <w:color w:val="000000"/>
          <w:sz w:val="24"/>
          <w:szCs w:val="24"/>
        </w:rPr>
        <w:t>2.7 其他义务</w:t>
      </w:r>
      <w:bookmarkEnd w:id="137"/>
      <w:bookmarkEnd w:id="138"/>
      <w:bookmarkEnd w:id="139"/>
    </w:p>
    <w:p w14:paraId="303F88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发包人应履行合同约定的其他义务。</w:t>
      </w:r>
    </w:p>
    <w:p w14:paraId="5BC19D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140" w:name="_Toc79760302"/>
      <w:bookmarkStart w:id="141" w:name="_Toc15141"/>
      <w:bookmarkStart w:id="142" w:name="_Toc22684"/>
      <w:r>
        <w:rPr>
          <w:rFonts w:hint="eastAsia" w:ascii="黑体" w:hAnsi="宋体" w:eastAsia="黑体" w:cs="黑体"/>
          <w:color w:val="000000"/>
          <w:sz w:val="28"/>
          <w:szCs w:val="28"/>
        </w:rPr>
        <w:t>3. 监理人</w:t>
      </w:r>
      <w:bookmarkEnd w:id="140"/>
      <w:bookmarkEnd w:id="141"/>
      <w:bookmarkEnd w:id="142"/>
    </w:p>
    <w:p w14:paraId="1A656B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43" w:name="_Toc247527660"/>
      <w:bookmarkStart w:id="144" w:name="_Toc300835057"/>
      <w:bookmarkStart w:id="145" w:name="_Toc247514059"/>
      <w:r>
        <w:rPr>
          <w:rFonts w:hint="eastAsia" w:ascii="黑体" w:hAnsi="宋体" w:eastAsia="黑体" w:cs="黑体"/>
          <w:color w:val="000000"/>
          <w:sz w:val="24"/>
          <w:szCs w:val="24"/>
        </w:rPr>
        <w:t>3.1 监理人的职责和权力</w:t>
      </w:r>
      <w:bookmarkEnd w:id="143"/>
      <w:bookmarkEnd w:id="144"/>
      <w:bookmarkEnd w:id="145"/>
    </w:p>
    <w:p w14:paraId="447F04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5401F6C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3.1.2 合同约定应由承包人承担的义务和责任，不因监理人对承包人文件的审查或批准，对工程、材料和工程设备的检查和检验，以及为实施监理作出的指示等职务行为而减轻或解除。</w:t>
      </w:r>
    </w:p>
    <w:p w14:paraId="691E31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46" w:name="_Toc247527661"/>
      <w:bookmarkStart w:id="147" w:name="_Toc247514060"/>
      <w:bookmarkStart w:id="148" w:name="_Toc300835058"/>
      <w:r>
        <w:rPr>
          <w:rFonts w:hint="eastAsia" w:ascii="黑体" w:hAnsi="宋体" w:eastAsia="黑体" w:cs="黑体"/>
          <w:color w:val="000000"/>
          <w:sz w:val="24"/>
          <w:szCs w:val="24"/>
        </w:rPr>
        <w:t>3.2 总监理工程师</w:t>
      </w:r>
      <w:bookmarkEnd w:id="146"/>
      <w:bookmarkEnd w:id="147"/>
      <w:bookmarkEnd w:id="148"/>
    </w:p>
    <w:p w14:paraId="3DB30B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发包人应在发出开始工作通知前将总监理工程师的任命通知承包人。总监理工程师更换时，应提前14 天通知承包人。总监理工程师超过2天不能履行职责的，应委派代表代行其职责，并通知承包人。</w:t>
      </w:r>
    </w:p>
    <w:p w14:paraId="2FD447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49" w:name="_Toc300835059"/>
      <w:bookmarkStart w:id="150" w:name="_Toc247527662"/>
      <w:bookmarkStart w:id="151" w:name="_Toc247514061"/>
      <w:r>
        <w:rPr>
          <w:rFonts w:hint="eastAsia" w:ascii="黑体" w:hAnsi="宋体" w:eastAsia="黑体" w:cs="黑体"/>
          <w:color w:val="000000"/>
          <w:sz w:val="24"/>
          <w:szCs w:val="24"/>
        </w:rPr>
        <w:t>3.3 监理人员</w:t>
      </w:r>
      <w:bookmarkEnd w:id="149"/>
      <w:bookmarkEnd w:id="150"/>
      <w:bookmarkEnd w:id="151"/>
    </w:p>
    <w:p w14:paraId="46C82D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684E45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3.3.2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351665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3.3.3承包人对总监理工程师授权的监理人员发出的指示有疑问的，可在该指示发出的48小时内向总监理工程师提出书面异议，总监理工程师应在48小时内对该指示予以确认、更改或撤销。</w:t>
      </w:r>
    </w:p>
    <w:p w14:paraId="689774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3.3.4除专用合同条款另有约定外，总监理工程师不应将第3.5款约定应由总监理工程师作出确定的权力授权或委托给其他监理人员。</w:t>
      </w:r>
    </w:p>
    <w:p w14:paraId="2D4E36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52" w:name="_Toc247527663"/>
      <w:bookmarkStart w:id="153" w:name="_Toc247514062"/>
      <w:bookmarkStart w:id="154" w:name="_Toc300835060"/>
      <w:r>
        <w:rPr>
          <w:rFonts w:hint="eastAsia" w:ascii="黑体" w:hAnsi="宋体" w:eastAsia="黑体" w:cs="黑体"/>
          <w:color w:val="000000"/>
          <w:sz w:val="24"/>
          <w:szCs w:val="24"/>
        </w:rPr>
        <w:t>3.4 监理人的指示</w:t>
      </w:r>
      <w:bookmarkEnd w:id="152"/>
      <w:bookmarkEnd w:id="153"/>
      <w:bookmarkEnd w:id="154"/>
    </w:p>
    <w:p w14:paraId="441C17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3.4.1监理人应按第3.1 款的约定向承包人发出指示，监理人的指示应盖有监理人授权的项目管理机构章，并由总监理工程师或总监理工程师约定授权的监理人员签字。</w:t>
      </w:r>
    </w:p>
    <w:p w14:paraId="71DA6E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3.4.2承包人收到监理人作出的指示后应遵照执行。指示构成变更的，应按第15条执行。</w:t>
      </w:r>
    </w:p>
    <w:p w14:paraId="7C2E5D5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3.4.3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14:paraId="00C369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3.4.4除合同另有约定外，承包人只从总监理工程师或按第3.3.1项被授权的监理人员处取得指示。</w:t>
      </w:r>
    </w:p>
    <w:p w14:paraId="7D1872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3.4.5由于监理人未能按合同约定发出指示、指示延误或指示错误而导致承包人费用增加和（或）工期延误的，发包人应承担由此增加的费用和（或）工期延误，并向承包人支付合理利润。</w:t>
      </w:r>
    </w:p>
    <w:p w14:paraId="0FE568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55" w:name="_Toc300835061"/>
      <w:bookmarkStart w:id="156" w:name="_Toc247527664"/>
      <w:bookmarkStart w:id="157" w:name="_Toc247514063"/>
      <w:r>
        <w:rPr>
          <w:rFonts w:hint="eastAsia" w:ascii="黑体" w:hAnsi="宋体" w:eastAsia="黑体" w:cs="黑体"/>
          <w:color w:val="000000"/>
          <w:sz w:val="24"/>
          <w:szCs w:val="24"/>
        </w:rPr>
        <w:t>3.5 商定或确定</w:t>
      </w:r>
      <w:bookmarkEnd w:id="155"/>
      <w:bookmarkEnd w:id="156"/>
      <w:bookmarkEnd w:id="157"/>
    </w:p>
    <w:p w14:paraId="024243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3.5.1合同约定总监理工程师应按照本款对任何事项进行商定或确定时，总监理工程师应与合同当事人协商，尽量达成一致。不能达成一致的，总监理工程师应认真研究后审慎确定。</w:t>
      </w:r>
    </w:p>
    <w:p w14:paraId="597487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3.5.2总监理工程师应将商定或确定的事项通知合同当事人，并附详细依据。对总监理工程师的确定有异议的，构成争议，按照第24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14:paraId="084E27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158" w:name="_Toc10282"/>
      <w:bookmarkStart w:id="159" w:name="_Toc30132"/>
      <w:bookmarkStart w:id="160" w:name="_Toc79760303"/>
      <w:r>
        <w:rPr>
          <w:rFonts w:hint="eastAsia" w:ascii="黑体" w:hAnsi="宋体" w:eastAsia="黑体" w:cs="黑体"/>
          <w:color w:val="000000"/>
          <w:sz w:val="28"/>
          <w:szCs w:val="28"/>
        </w:rPr>
        <w:t>4. 承包人</w:t>
      </w:r>
      <w:bookmarkEnd w:id="158"/>
      <w:bookmarkEnd w:id="159"/>
      <w:bookmarkEnd w:id="160"/>
    </w:p>
    <w:p w14:paraId="1208F4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61" w:name="_Toc351203527"/>
      <w:bookmarkStart w:id="162" w:name="_Toc523252210"/>
      <w:bookmarkStart w:id="163" w:name="_Toc522694267"/>
      <w:bookmarkStart w:id="164" w:name="_Toc247514065"/>
      <w:bookmarkStart w:id="165" w:name="_Toc247527666"/>
      <w:bookmarkStart w:id="166" w:name="_Toc300835063"/>
      <w:r>
        <w:rPr>
          <w:rFonts w:hint="eastAsia" w:ascii="黑体" w:hAnsi="宋体" w:eastAsia="黑体" w:cs="黑体"/>
          <w:color w:val="000000"/>
          <w:sz w:val="24"/>
          <w:szCs w:val="24"/>
        </w:rPr>
        <w:t>4.1 承包人的一般义务</w:t>
      </w:r>
      <w:bookmarkEnd w:id="161"/>
      <w:bookmarkEnd w:id="162"/>
      <w:bookmarkEnd w:id="163"/>
      <w:bookmarkEnd w:id="164"/>
      <w:bookmarkEnd w:id="165"/>
      <w:bookmarkEnd w:id="166"/>
    </w:p>
    <w:p w14:paraId="605476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4.1.1遵守法律</w:t>
      </w:r>
    </w:p>
    <w:p w14:paraId="3C3676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承包人在履行合同过程中应遵守法律，并保证发包人免于承担因承包人违反法律而引起的任何责任。</w:t>
      </w:r>
    </w:p>
    <w:p w14:paraId="212FCF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4.1.2依法纳税</w:t>
      </w:r>
    </w:p>
    <w:p w14:paraId="772917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承包人应按有关法律规定纳税，应缴纳的税金包括在合同价格内。</w:t>
      </w:r>
    </w:p>
    <w:p w14:paraId="32392B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4.1.3完成各项承包工作</w:t>
      </w:r>
    </w:p>
    <w:p w14:paraId="3984CA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137394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4.1.4对设计、施工作业和施工方法，以及工程的完备性负责</w:t>
      </w:r>
    </w:p>
    <w:p w14:paraId="1443FE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承包人应按合同约定的工作内容和进度要求，编制设计、施工的组织和实施计划，并对所有设计、施工作业和施工方法，以及全部工程的完备性和安全可靠性负责。</w:t>
      </w:r>
    </w:p>
    <w:p w14:paraId="6C17A1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4.1.5保证工程施工和人员的安全</w:t>
      </w:r>
    </w:p>
    <w:p w14:paraId="61F564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承包人应按第10.2 款约定采取施工安全措施，确保工程及其人员、材料、设备和设施的安全，防止因工程施工造成的人身伤害和财产损失。</w:t>
      </w:r>
    </w:p>
    <w:p w14:paraId="613311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4.1.6负责施工场地及其周边环境与生态的保护工作</w:t>
      </w:r>
    </w:p>
    <w:p w14:paraId="0707F9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承包人应按照第10.4 款约定负责施工场地及其周边环境与生态的保护工作。</w:t>
      </w:r>
    </w:p>
    <w:p w14:paraId="2B3A5E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4.1.7避免施工对公众与他人的利益造成损害</w:t>
      </w:r>
    </w:p>
    <w:p w14:paraId="5DCE2A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3BA5E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4.1.8为他人提供方便</w:t>
      </w:r>
    </w:p>
    <w:p w14:paraId="08F919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承包人应按监理人的指示为他人在施工场地或附近实施与工程有关的其他各项工作提供可能的条件。除合同另有约定外，提供有关条件的内容和可能发生的费用，由监理人按第3.5 款商定或确定。</w:t>
      </w:r>
    </w:p>
    <w:p w14:paraId="1A97D8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4.1.9工程的维护和照管</w:t>
      </w:r>
    </w:p>
    <w:p w14:paraId="43B7EF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工程接收证书颁发前，承包人应负责照管和维护工程。工程接收证书颁发时尚有部分未竣工工程的，承包人还应负责该未竣工工程的照管和维护工作，直至竣工后移交给发包人。</w:t>
      </w:r>
    </w:p>
    <w:p w14:paraId="58FDFB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4.1.10其他义务</w:t>
      </w:r>
    </w:p>
    <w:p w14:paraId="3CCCAF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承包人应履行合同约定的其他义务。</w:t>
      </w:r>
    </w:p>
    <w:p w14:paraId="1CD1B5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67" w:name="_Toc247527667"/>
      <w:bookmarkStart w:id="168" w:name="_Toc247514066"/>
      <w:bookmarkStart w:id="169" w:name="_Toc300835064"/>
      <w:r>
        <w:rPr>
          <w:rFonts w:hint="eastAsia" w:ascii="黑体" w:hAnsi="宋体" w:eastAsia="黑体" w:cs="黑体"/>
          <w:color w:val="000000"/>
          <w:sz w:val="24"/>
          <w:szCs w:val="24"/>
        </w:rPr>
        <w:t>4.2 履约担保</w:t>
      </w:r>
      <w:bookmarkEnd w:id="167"/>
      <w:bookmarkEnd w:id="168"/>
      <w:bookmarkEnd w:id="169"/>
    </w:p>
    <w:p w14:paraId="72D9BE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4.2.1除专用条款另有约定外，承包人应保证其履约担保在发包人颁发工程接收证书前一直有效。发包人应在工程接收证书颁发后28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14:paraId="325FFD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14:paraId="1399F9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70" w:name="_Toc247514067"/>
      <w:bookmarkStart w:id="171" w:name="_Toc247527668"/>
      <w:bookmarkStart w:id="172" w:name="_Toc300835065"/>
      <w:r>
        <w:rPr>
          <w:rFonts w:hint="eastAsia" w:ascii="黑体" w:hAnsi="宋体" w:eastAsia="黑体" w:cs="黑体"/>
          <w:color w:val="000000"/>
          <w:sz w:val="24"/>
          <w:szCs w:val="24"/>
        </w:rPr>
        <w:t xml:space="preserve">4.3 </w:t>
      </w:r>
      <w:bookmarkEnd w:id="170"/>
      <w:bookmarkEnd w:id="171"/>
      <w:bookmarkEnd w:id="172"/>
      <w:r>
        <w:rPr>
          <w:rFonts w:hint="eastAsia" w:ascii="黑体" w:hAnsi="宋体" w:eastAsia="黑体" w:cs="黑体"/>
          <w:color w:val="000000"/>
          <w:sz w:val="24"/>
          <w:szCs w:val="24"/>
        </w:rPr>
        <w:t>分包和不得转包</w:t>
      </w:r>
    </w:p>
    <w:p w14:paraId="75A1D7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4.3.1 承包人不得将其承包的全部工程转包给第三人，也不得将其承包的全部工程肢解后以分包的名义分别转包给第三人。</w:t>
      </w:r>
    </w:p>
    <w:p w14:paraId="4146A5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4.3.2 承包人不得将设计和施工的主体、关键性工作分包给第三人。除专用合同条款另有约定外，未经发包人同意，承包人也不得将非主体、非关键性工作分包给第三人。</w:t>
      </w:r>
    </w:p>
    <w:p w14:paraId="49050D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4.3.3分包人的资格能力应与其分包工作的标准和规模相适应。</w:t>
      </w:r>
    </w:p>
    <w:p w14:paraId="71BFB4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4.3.4 发包人同意承包人分包工作的，承包人应向发包人和监理人提交分包合同副本。</w:t>
      </w:r>
    </w:p>
    <w:p w14:paraId="04DD16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73" w:name="_Toc247527669"/>
      <w:bookmarkStart w:id="174" w:name="_Toc300835066"/>
      <w:bookmarkStart w:id="175" w:name="_Toc247514068"/>
      <w:r>
        <w:rPr>
          <w:rFonts w:hint="eastAsia" w:ascii="黑体" w:hAnsi="宋体" w:eastAsia="黑体" w:cs="黑体"/>
          <w:color w:val="000000"/>
          <w:sz w:val="24"/>
          <w:szCs w:val="24"/>
        </w:rPr>
        <w:t xml:space="preserve">4.4 </w:t>
      </w:r>
      <w:bookmarkEnd w:id="173"/>
      <w:bookmarkEnd w:id="174"/>
      <w:bookmarkEnd w:id="175"/>
      <w:r>
        <w:rPr>
          <w:rFonts w:hint="eastAsia" w:ascii="黑体" w:hAnsi="宋体" w:eastAsia="黑体" w:cs="黑体"/>
          <w:color w:val="000000"/>
          <w:sz w:val="24"/>
          <w:szCs w:val="24"/>
        </w:rPr>
        <w:t>联合体</w:t>
      </w:r>
    </w:p>
    <w:p w14:paraId="56FBC62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4.4.1 联合体各方应共同与发包人签订合同。联合体各方应为履行合同承担连带责任。</w:t>
      </w:r>
    </w:p>
    <w:p w14:paraId="7B39CF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4.4.2联合体协议经发包人确认后作为合同附件。在履行合同过程中，未经发包人同意，不得修改联合体协议。</w:t>
      </w:r>
    </w:p>
    <w:p w14:paraId="35BF7F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4.4.3联合体牵头人或联合体授权的代表负责与发包人和监理人联系，并接受指示，负责组织联合体各成员全面履行合同。</w:t>
      </w:r>
    </w:p>
    <w:p w14:paraId="7B40471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76" w:name="_Toc247527670"/>
      <w:bookmarkStart w:id="177" w:name="_Toc300835067"/>
      <w:bookmarkStart w:id="178" w:name="_Toc247514069"/>
      <w:r>
        <w:rPr>
          <w:rFonts w:hint="eastAsia" w:ascii="黑体" w:hAnsi="宋体" w:eastAsia="黑体" w:cs="黑体"/>
          <w:color w:val="000000"/>
          <w:sz w:val="24"/>
          <w:szCs w:val="24"/>
        </w:rPr>
        <w:t xml:space="preserve">4.5 </w:t>
      </w:r>
      <w:bookmarkEnd w:id="176"/>
      <w:bookmarkEnd w:id="177"/>
      <w:bookmarkEnd w:id="178"/>
      <w:r>
        <w:rPr>
          <w:rFonts w:hint="eastAsia" w:ascii="黑体" w:hAnsi="宋体" w:eastAsia="黑体" w:cs="黑体"/>
          <w:color w:val="000000"/>
          <w:sz w:val="24"/>
          <w:szCs w:val="24"/>
        </w:rPr>
        <w:t>承包人项目经理</w:t>
      </w:r>
    </w:p>
    <w:p w14:paraId="73FF8F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79" w:name="_Toc247527671"/>
      <w:bookmarkStart w:id="180" w:name="_Toc300835068"/>
      <w:bookmarkStart w:id="181" w:name="_Toc247514070"/>
      <w:r>
        <w:rPr>
          <w:rFonts w:hint="eastAsia" w:ascii="宋体" w:hAnsi="宋体" w:eastAsia="宋体" w:cs="宋体"/>
          <w:color w:val="000000"/>
          <w:sz w:val="24"/>
          <w:szCs w:val="24"/>
        </w:rPr>
        <w:t>4.5.1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bookmarkEnd w:id="179"/>
      <w:bookmarkEnd w:id="180"/>
      <w:bookmarkEnd w:id="181"/>
    </w:p>
    <w:p w14:paraId="23F69B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4.5.2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14:paraId="465008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4.5.3 承包人为履行合同发出的一切函件均应盖有承包人单位章或由承包人项目经理签字。</w:t>
      </w:r>
    </w:p>
    <w:p w14:paraId="3E707D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4.5.4 承包人项目经理可以授权其下属人员履行其某项职责，但事先应将这些人员的姓名和授权范围书面通知发包人和监理人。</w:t>
      </w:r>
    </w:p>
    <w:p w14:paraId="4EA57FE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4.6 承包人人员的管理</w:t>
      </w:r>
    </w:p>
    <w:p w14:paraId="63B55D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4.6.1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48C6DCE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4.6.2 承包人安排的主要管理人员包括项目经理、设计负责人、施工负责人、采购负责人以及专职质量、安全生产管理人员等；技术人员包括设计师、建筑师、土木工程师、设备工程师、建造师等。</w:t>
      </w:r>
    </w:p>
    <w:p w14:paraId="5FD6FE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4.6.3 承包人的设计人员应具有国家规定和发包人要求中约定的资格，并具有从事设计所必需的经验与能力。</w:t>
      </w:r>
    </w:p>
    <w:p w14:paraId="69F50E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承包人应保证其设计人员（包括分包人的设计人员）在合同期限内的任何时候，都能按时参加发包人或其委托的监理人组织的工作会议。</w:t>
      </w:r>
    </w:p>
    <w:p w14:paraId="18F2CE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4.6.4 国家规定应当持证上岗的工作人员均应持有相应的资格证明，监理人有权随时检查。监理人认为有必要时，可进行现场考核。</w:t>
      </w:r>
    </w:p>
    <w:p w14:paraId="287E80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4.6.5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1D5622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4.7 撤换承包人项目经理和其他人员</w:t>
      </w:r>
    </w:p>
    <w:p w14:paraId="3A1747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承包人应对其项目经理和其他人员进行有效管理。监理人要求撤换不能胜任本职工作、行为不端或玩忽职守的承包人项目经理和其他人员的，承包人应予以撤换。</w:t>
      </w:r>
    </w:p>
    <w:p w14:paraId="40E1AB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4.8 保障承包人人员的合法权益</w:t>
      </w:r>
    </w:p>
    <w:p w14:paraId="1B390C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4.8.1 承包人应与其雇佣的人员签订劳动合同，并按时发放工资。</w:t>
      </w:r>
    </w:p>
    <w:p w14:paraId="73E6AE7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4.8.2 承包人应按劳动法的规定安排工作时间，保证其雇佣人员享有休息和休假的权利。因设计、施工的特殊需要占用休假日或延长工作时间的，应不超过法律规定的限度，并按法律规定给予补休或付酬。</w:t>
      </w:r>
    </w:p>
    <w:p w14:paraId="587EAB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4.8.3 承包人应为其雇佣人员提供必要的食宿条件，以及符合环境保护和卫生要求的生活环境，在远离城镇的施工场地，还应配备必要的伤病防治和急救的医务人员与医疗设施。</w:t>
      </w:r>
    </w:p>
    <w:p w14:paraId="6B392E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4.8.4 承包人应按国家有关劳动保护的规定，采取有效地防止粉尘、降低噪声、控制有害气体和保障高温、高寒、高空作业安全等劳动保护措施。其雇佣人员在施工中受到伤害的，承包人应立即采取有效措施进行抢救和治疗。</w:t>
      </w:r>
    </w:p>
    <w:p w14:paraId="755CA4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4.8.5 承包人应按有关法律规定和合同约定，为其雇佣人员办理保险。</w:t>
      </w:r>
    </w:p>
    <w:p w14:paraId="33D0DC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4.8.6 承包人应负责处理其雇佣人员因工伤亡事故的善后事宜。</w:t>
      </w:r>
    </w:p>
    <w:p w14:paraId="09EEAC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bookmarkStart w:id="182" w:name="_Toc79760304"/>
      <w:r>
        <w:rPr>
          <w:rFonts w:hint="eastAsia" w:ascii="黑体" w:hAnsi="宋体" w:eastAsia="黑体" w:cs="黑体"/>
          <w:color w:val="000000"/>
          <w:sz w:val="24"/>
          <w:szCs w:val="24"/>
        </w:rPr>
        <w:t>4.9 工程价款应专款专用</w:t>
      </w:r>
      <w:bookmarkEnd w:id="182"/>
    </w:p>
    <w:p w14:paraId="084D2D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发包人按合同约定支付给承包人的各项价款应专用于合同工作。</w:t>
      </w:r>
    </w:p>
    <w:p w14:paraId="417D3E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黑体" w:hAnsi="宋体" w:eastAsia="黑体" w:cs="黑体"/>
          <w:color w:val="000000"/>
          <w:sz w:val="24"/>
          <w:szCs w:val="24"/>
        </w:rPr>
        <w:t>4.10承包人现场查勘</w:t>
      </w:r>
    </w:p>
    <w:p w14:paraId="32F363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4.10.1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2E5208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4.10.2 承包人应对施工场地和周围环境进行查勘，并收集除发包人提供外为完成合同工作有关的当地资料。在全部合同工作中，视为承包人已充分估计了应承担的责任和风险。</w:t>
      </w:r>
    </w:p>
    <w:p w14:paraId="1F27D0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黑体" w:hAnsi="宋体" w:eastAsia="黑体" w:cs="黑体"/>
          <w:color w:val="000000"/>
          <w:sz w:val="24"/>
          <w:szCs w:val="24"/>
        </w:rPr>
        <w:t>4.11不可预见物质条件（A）</w:t>
      </w:r>
    </w:p>
    <w:p w14:paraId="0F9B2B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4.11.1 不可预见物质条件，除专用合同条款另有约定外，是指承包人在施工场地遇到的不可预见的自然物质条件、非自然的物质障碍和污染物，包括地下和水文条件，但不包括气候条件。</w:t>
      </w:r>
    </w:p>
    <w:p w14:paraId="7B9D887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4.11.2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285A27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黑体" w:hAnsi="宋体" w:eastAsia="黑体" w:cs="黑体"/>
          <w:color w:val="000000"/>
          <w:sz w:val="24"/>
          <w:szCs w:val="24"/>
        </w:rPr>
        <w:t>4.11不可预见的困难和费用（B）</w:t>
      </w:r>
    </w:p>
    <w:p w14:paraId="6A3824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除合同另有约定外，承包人应视为已取得工程有关风险、意外事件和其他情况的全部必要资料，并预见工程所有困难和费用。承包人遇到不可预见的困难和费用时，合同价格不予调整。</w:t>
      </w:r>
    </w:p>
    <w:p w14:paraId="7428FD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bookmarkStart w:id="183" w:name="_Toc79760305"/>
      <w:r>
        <w:rPr>
          <w:rFonts w:hint="eastAsia" w:ascii="黑体" w:hAnsi="宋体" w:eastAsia="黑体" w:cs="黑体"/>
          <w:color w:val="000000"/>
          <w:sz w:val="24"/>
          <w:szCs w:val="24"/>
        </w:rPr>
        <w:t>4.12进度计划</w:t>
      </w:r>
      <w:bookmarkEnd w:id="183"/>
    </w:p>
    <w:p w14:paraId="08A156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84" w:name="_Toc79760306"/>
      <w:r>
        <w:rPr>
          <w:rFonts w:hint="eastAsia" w:ascii="宋体" w:hAnsi="宋体" w:eastAsia="宋体" w:cs="宋体"/>
          <w:color w:val="000000"/>
          <w:sz w:val="24"/>
          <w:szCs w:val="24"/>
        </w:rPr>
        <w:t>4.12.1 合同进度计划</w:t>
      </w:r>
      <w:bookmarkEnd w:id="184"/>
    </w:p>
    <w:p w14:paraId="6ED027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6F9461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185" w:name="_Toc79760307"/>
      <w:r>
        <w:rPr>
          <w:rFonts w:hint="eastAsia" w:ascii="宋体" w:hAnsi="宋体" w:eastAsia="宋体" w:cs="宋体"/>
          <w:color w:val="000000"/>
          <w:sz w:val="24"/>
          <w:szCs w:val="24"/>
        </w:rPr>
        <w:t>4.12.2 合同进度计划的修订</w:t>
      </w:r>
      <w:bookmarkEnd w:id="185"/>
    </w:p>
    <w:p w14:paraId="00D7CB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46E901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bookmarkStart w:id="186" w:name="_Toc79760308"/>
      <w:r>
        <w:rPr>
          <w:rFonts w:hint="eastAsia" w:ascii="黑体" w:hAnsi="宋体" w:eastAsia="黑体" w:cs="黑体"/>
          <w:color w:val="000000"/>
          <w:sz w:val="24"/>
          <w:szCs w:val="24"/>
        </w:rPr>
        <w:t>4.13质量保证</w:t>
      </w:r>
      <w:bookmarkEnd w:id="186"/>
    </w:p>
    <w:p w14:paraId="6AA5CE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4.13.1 为保证工程质量，承包人应按照合同要求建立质量保证体系。监理人有权对承包人的质量保证体系进行审查。</w:t>
      </w:r>
    </w:p>
    <w:p w14:paraId="125FF5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4.13.2 承包人应在各设计和实施阶段开始前，向监理人提交其具体的质量保证细则和工作程序。</w:t>
      </w:r>
    </w:p>
    <w:p w14:paraId="4436C1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4.13.3 遵守质量保证体系，不应免除合同约定的承包人的义务和责任。</w:t>
      </w:r>
    </w:p>
    <w:p w14:paraId="24C5B2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187" w:name="_Toc27206"/>
      <w:bookmarkStart w:id="188" w:name="_Toc300835077"/>
      <w:bookmarkStart w:id="189" w:name="_Toc247527678"/>
      <w:bookmarkStart w:id="190" w:name="_Toc247514077"/>
      <w:bookmarkStart w:id="191" w:name="_Toc79760309"/>
      <w:bookmarkStart w:id="192" w:name="_Toc24147"/>
      <w:r>
        <w:rPr>
          <w:rFonts w:hint="eastAsia" w:ascii="黑体" w:hAnsi="宋体" w:eastAsia="黑体" w:cs="黑体"/>
          <w:color w:val="000000"/>
          <w:sz w:val="28"/>
          <w:szCs w:val="28"/>
        </w:rPr>
        <w:t>5. 设计</w:t>
      </w:r>
      <w:bookmarkEnd w:id="187"/>
      <w:bookmarkEnd w:id="188"/>
      <w:bookmarkEnd w:id="189"/>
      <w:bookmarkEnd w:id="190"/>
      <w:bookmarkEnd w:id="191"/>
      <w:bookmarkEnd w:id="192"/>
    </w:p>
    <w:p w14:paraId="6046A4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93" w:name="_Toc247527679"/>
      <w:bookmarkStart w:id="194" w:name="_Toc468936969"/>
      <w:bookmarkStart w:id="195" w:name="_Toc247514078"/>
      <w:bookmarkStart w:id="196" w:name="_Toc297347661"/>
      <w:bookmarkStart w:id="197" w:name="_Toc487072795"/>
      <w:bookmarkStart w:id="198" w:name="_Toc300835078"/>
      <w:bookmarkStart w:id="199" w:name="_Toc264373498"/>
      <w:bookmarkStart w:id="200" w:name="_Toc259350427"/>
      <w:bookmarkStart w:id="201" w:name="_Toc259552511"/>
      <w:bookmarkStart w:id="202" w:name="_Toc257880849"/>
      <w:bookmarkStart w:id="203" w:name="_Toc258440543"/>
      <w:r>
        <w:rPr>
          <w:rFonts w:hint="eastAsia" w:ascii="黑体" w:hAnsi="宋体" w:eastAsia="黑体" w:cs="黑体"/>
          <w:color w:val="000000"/>
          <w:sz w:val="24"/>
          <w:szCs w:val="24"/>
        </w:rPr>
        <w:t>5.1 承包人的设计义务</w:t>
      </w:r>
      <w:bookmarkEnd w:id="193"/>
      <w:bookmarkEnd w:id="194"/>
      <w:bookmarkEnd w:id="195"/>
      <w:bookmarkEnd w:id="196"/>
      <w:bookmarkEnd w:id="197"/>
      <w:bookmarkEnd w:id="198"/>
      <w:bookmarkEnd w:id="199"/>
      <w:bookmarkEnd w:id="200"/>
      <w:bookmarkEnd w:id="201"/>
      <w:bookmarkEnd w:id="202"/>
      <w:bookmarkEnd w:id="203"/>
    </w:p>
    <w:p w14:paraId="23E411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04" w:name="_Toc258440544"/>
      <w:bookmarkStart w:id="205" w:name="_Toc259552512"/>
      <w:bookmarkStart w:id="206" w:name="_Toc264373499"/>
      <w:bookmarkStart w:id="207" w:name="_Toc259350428"/>
      <w:r>
        <w:rPr>
          <w:rFonts w:hint="eastAsia" w:ascii="宋体" w:hAnsi="宋体" w:eastAsia="宋体" w:cs="宋体"/>
          <w:color w:val="000000"/>
          <w:sz w:val="24"/>
          <w:szCs w:val="24"/>
        </w:rPr>
        <w:t>5.1.1 设计义务</w:t>
      </w:r>
      <w:bookmarkEnd w:id="204"/>
      <w:bookmarkEnd w:id="205"/>
      <w:bookmarkEnd w:id="206"/>
      <w:bookmarkEnd w:id="207"/>
      <w:r>
        <w:rPr>
          <w:rFonts w:hint="eastAsia" w:ascii="宋体" w:hAnsi="宋体" w:eastAsia="宋体" w:cs="宋体"/>
          <w:color w:val="000000"/>
          <w:sz w:val="24"/>
          <w:szCs w:val="24"/>
        </w:rPr>
        <w:t>的一般要求</w:t>
      </w:r>
    </w:p>
    <w:p w14:paraId="2F2B97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承包人应按照法律规定，以及国家、行业和地方的规范和标准完成设计工作，并符合发包人要求。</w:t>
      </w:r>
    </w:p>
    <w:p w14:paraId="64C5EF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5.1.2 法律和标准的变化</w:t>
      </w:r>
    </w:p>
    <w:p w14:paraId="2AAE19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14:paraId="0C3FD8D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08" w:name="_Toc300835079"/>
      <w:bookmarkStart w:id="209" w:name="_Toc259350434"/>
      <w:bookmarkStart w:id="210" w:name="_Toc264373505"/>
      <w:bookmarkStart w:id="211" w:name="_Toc258440550"/>
      <w:bookmarkStart w:id="212" w:name="_Toc259552518"/>
      <w:bookmarkStart w:id="213" w:name="_Toc257880851"/>
      <w:r>
        <w:rPr>
          <w:rFonts w:hint="eastAsia" w:ascii="黑体" w:hAnsi="宋体" w:eastAsia="黑体" w:cs="黑体"/>
          <w:color w:val="000000"/>
          <w:sz w:val="24"/>
          <w:szCs w:val="24"/>
        </w:rPr>
        <w:t xml:space="preserve">5.2 </w:t>
      </w:r>
      <w:bookmarkEnd w:id="208"/>
      <w:r>
        <w:rPr>
          <w:rFonts w:hint="eastAsia" w:ascii="黑体" w:hAnsi="宋体" w:eastAsia="黑体" w:cs="黑体"/>
          <w:color w:val="000000"/>
          <w:sz w:val="24"/>
          <w:szCs w:val="24"/>
        </w:rPr>
        <w:t>承包人设计进度计划</w:t>
      </w:r>
      <w:bookmarkEnd w:id="209"/>
      <w:bookmarkEnd w:id="210"/>
      <w:bookmarkEnd w:id="211"/>
      <w:bookmarkEnd w:id="212"/>
      <w:bookmarkEnd w:id="213"/>
    </w:p>
    <w:p w14:paraId="0C3AF4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14" w:name="_Toc258440555"/>
      <w:bookmarkStart w:id="215" w:name="_Toc264373507"/>
      <w:bookmarkStart w:id="216" w:name="_Toc259552523"/>
      <w:bookmarkStart w:id="217" w:name="_Toc300835080"/>
      <w:bookmarkStart w:id="218" w:name="_Toc257880852"/>
      <w:bookmarkStart w:id="219" w:name="_Toc259350439"/>
      <w:r>
        <w:rPr>
          <w:rFonts w:hint="eastAsia" w:ascii="宋体" w:hAnsi="宋体" w:eastAsia="宋体" w:cs="宋体"/>
          <w:color w:val="000000"/>
          <w:sz w:val="24"/>
          <w:szCs w:val="24"/>
        </w:rPr>
        <w:t>承包人应按照发包人要求，在合同进度计划中专门列出设计进度计划，报发包人批准后执行。承包人需按照经批准后的计划开展设计工作。</w:t>
      </w:r>
      <w:bookmarkEnd w:id="214"/>
      <w:bookmarkEnd w:id="215"/>
      <w:bookmarkEnd w:id="216"/>
      <w:bookmarkEnd w:id="217"/>
      <w:bookmarkEnd w:id="218"/>
      <w:bookmarkEnd w:id="219"/>
    </w:p>
    <w:p w14:paraId="3773CD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因承包人原因影响设计进度的，按第11.5款的约定执行。因发包人原因影响设计进度的，按第15条变更处理。</w:t>
      </w:r>
    </w:p>
    <w:p w14:paraId="4FD11A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发包人或其委托的监理人有权要求承包人根据第11.5款提交修正的进度计划、增加投入资源并加快设计进度。</w:t>
      </w:r>
    </w:p>
    <w:p w14:paraId="5D9CFB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黑体" w:hAnsi="宋体" w:eastAsia="黑体" w:cs="黑体"/>
          <w:color w:val="000000"/>
          <w:sz w:val="24"/>
          <w:szCs w:val="24"/>
        </w:rPr>
        <w:t>5.3 设计审查</w:t>
      </w:r>
    </w:p>
    <w:p w14:paraId="20CB3F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5.3.1 承包人的设计文件应报发包人审查同意。审查的范围和内容在发包人要求中约定。</w:t>
      </w:r>
    </w:p>
    <w:p w14:paraId="4CEA15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763308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发包人不同意设计文件的，应通过监理人以书面形式通知承包人，并说明不符合合同要求的具体内容。承包人应根据监理人的书面说明，对承包人文件进行修改后重新报送发包人审查，审查期重新起算。</w:t>
      </w:r>
    </w:p>
    <w:p w14:paraId="4518C9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合同约定的审查期满，发包人没有做出审查结论也没有提出异议的，视为承包人的设计文件已获发包人同意。</w:t>
      </w:r>
    </w:p>
    <w:p w14:paraId="635E3B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5.3.2 承包人的设计文件不需要政府有关部门审查或批准的，承包人应当严格按照经发包人审查同意的设计文件设计和实施工程。</w:t>
      </w:r>
    </w:p>
    <w:p w14:paraId="22D230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5.3.3 设计文件需政府有关部门审查或批准的，发包人应在审查同意承包人的设计文件后7天内，向政府有关部门报送设计文件，承包人应予以协助。</w:t>
      </w:r>
    </w:p>
    <w:p w14:paraId="1C4887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14:paraId="0BAC34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政府有关部门审查批准的，承包人应当严格按照批准后的承包人的设计文件设计和实施工程。</w:t>
      </w:r>
    </w:p>
    <w:p w14:paraId="160B28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20" w:name="_Toc300835081"/>
      <w:r>
        <w:rPr>
          <w:rFonts w:hint="eastAsia" w:ascii="黑体" w:hAnsi="宋体" w:eastAsia="黑体" w:cs="黑体"/>
          <w:color w:val="000000"/>
          <w:sz w:val="24"/>
          <w:szCs w:val="24"/>
        </w:rPr>
        <w:t>5.4 培训</w:t>
      </w:r>
      <w:bookmarkEnd w:id="220"/>
    </w:p>
    <w:p w14:paraId="2F57AD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承包人应按照发包人要求，对发包人的人员进行工程操作和维修方面的培训。合同约定接收之前进行培训的，应在第18.3款约定的竣工验收前完成培训。</w:t>
      </w:r>
    </w:p>
    <w:p w14:paraId="5E04E3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21" w:name="_Toc247514080"/>
      <w:bookmarkStart w:id="222" w:name="_Toc468936971"/>
      <w:bookmarkStart w:id="223" w:name="_Toc297347663"/>
      <w:bookmarkStart w:id="224" w:name="_Toc247527681"/>
      <w:bookmarkStart w:id="225" w:name="_Toc487072797"/>
      <w:bookmarkStart w:id="226" w:name="_Toc300835082"/>
      <w:r>
        <w:rPr>
          <w:rFonts w:hint="eastAsia" w:ascii="黑体" w:hAnsi="宋体" w:eastAsia="黑体" w:cs="黑体"/>
          <w:color w:val="000000"/>
          <w:sz w:val="24"/>
          <w:szCs w:val="24"/>
        </w:rPr>
        <w:t>5.5 竣工文件</w:t>
      </w:r>
      <w:bookmarkEnd w:id="221"/>
      <w:bookmarkEnd w:id="222"/>
      <w:bookmarkEnd w:id="223"/>
      <w:bookmarkEnd w:id="224"/>
      <w:bookmarkEnd w:id="225"/>
      <w:bookmarkEnd w:id="226"/>
    </w:p>
    <w:p w14:paraId="74E516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2C53009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5.5.2 在颁发工程接收证书之前，承包人应按照发包人要求的份数和形式向监理人提交相应竣工图纸，并取得监理人对尺寸、参照系统及其他有关细节的认可。监理人应按照第5.3款的约定进行审查。</w:t>
      </w:r>
    </w:p>
    <w:p w14:paraId="3AAA5B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5.5.3 在监理人收到上述文件前，不应认为工程已根据第18.3款和第18.5款约定完成验收。</w:t>
      </w:r>
    </w:p>
    <w:p w14:paraId="644207E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27" w:name="_Toc300835083"/>
      <w:r>
        <w:rPr>
          <w:rFonts w:hint="eastAsia" w:ascii="黑体" w:hAnsi="宋体" w:eastAsia="黑体" w:cs="黑体"/>
          <w:color w:val="000000"/>
          <w:sz w:val="24"/>
          <w:szCs w:val="24"/>
        </w:rPr>
        <w:t>5.6 操作和维修手册</w:t>
      </w:r>
      <w:bookmarkEnd w:id="227"/>
    </w:p>
    <w:p w14:paraId="3F9209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5.6.1 在竣工试验开始前，承包人应向监理人提交暂行的操作和维修手册，该手册应足够详细，以便发包人能够对生产设备进行操作、维修、拆卸、重新安装、调整及修理。</w:t>
      </w:r>
    </w:p>
    <w:p w14:paraId="5BDEB80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5.6.2承包人应提交足够详细的最终操作和维修手册，以及在发包人要求中明确的相关操作和维修手册。在监理人收到上述文件前，不应认为工程已根据第18.3款和第18.5款约定完成验收。</w:t>
      </w:r>
    </w:p>
    <w:p w14:paraId="7D851E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28" w:name="_Toc300835084"/>
      <w:bookmarkStart w:id="229" w:name="_Toc247514085"/>
      <w:bookmarkStart w:id="230" w:name="_Toc247527686"/>
      <w:r>
        <w:rPr>
          <w:rFonts w:hint="eastAsia" w:ascii="黑体" w:hAnsi="宋体" w:eastAsia="黑体" w:cs="黑体"/>
          <w:color w:val="000000"/>
          <w:sz w:val="24"/>
          <w:szCs w:val="24"/>
        </w:rPr>
        <w:t>5.7 承包人文件错误</w:t>
      </w:r>
      <w:bookmarkEnd w:id="228"/>
      <w:bookmarkEnd w:id="229"/>
      <w:bookmarkEnd w:id="230"/>
    </w:p>
    <w:p w14:paraId="2CD13D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文件存在错误、遗漏、含混、矛盾、不充分之处或其他缺陷，无论承包人是否根据本款获得了批准，承包人均应自费对前述问题带来的缺陷和工程问题进行改正。第1.13款发包人要求的错误导致承包人文件错误、遗漏、含混、矛盾、不充分或其他缺陷的除外。</w:t>
      </w:r>
    </w:p>
    <w:p w14:paraId="086608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231" w:name="_Toc296346559"/>
      <w:bookmarkStart w:id="232" w:name="_Toc296503058"/>
      <w:bookmarkStart w:id="233" w:name="_Toc337558776"/>
      <w:bookmarkStart w:id="234" w:name="_Toc79760310"/>
      <w:bookmarkStart w:id="235" w:name="_Toc771"/>
      <w:bookmarkStart w:id="236" w:name="_Toc522694292"/>
      <w:bookmarkStart w:id="237" w:name="_Toc143"/>
      <w:bookmarkStart w:id="238" w:name="_Toc351203552"/>
      <w:bookmarkStart w:id="239" w:name="_Toc523252235"/>
      <w:r>
        <w:rPr>
          <w:rFonts w:hint="eastAsia" w:ascii="黑体" w:hAnsi="宋体" w:eastAsia="黑体" w:cs="黑体"/>
          <w:color w:val="000000"/>
          <w:sz w:val="28"/>
          <w:szCs w:val="28"/>
        </w:rPr>
        <w:t>6. 材料与工程设备</w:t>
      </w:r>
      <w:bookmarkEnd w:id="231"/>
      <w:bookmarkEnd w:id="232"/>
      <w:bookmarkEnd w:id="233"/>
      <w:bookmarkEnd w:id="234"/>
      <w:bookmarkEnd w:id="235"/>
      <w:bookmarkEnd w:id="236"/>
      <w:bookmarkEnd w:id="237"/>
      <w:bookmarkEnd w:id="238"/>
      <w:bookmarkEnd w:id="239"/>
    </w:p>
    <w:p w14:paraId="00455F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40" w:name="_Toc300835092"/>
      <w:bookmarkStart w:id="241" w:name="_Toc247514091"/>
      <w:bookmarkStart w:id="242" w:name="_Toc247527692"/>
      <w:bookmarkStart w:id="243" w:name="_Toc184635103"/>
      <w:bookmarkStart w:id="244" w:name="_Toc247514087"/>
      <w:bookmarkStart w:id="245" w:name="_Toc247527688"/>
      <w:bookmarkStart w:id="246" w:name="_Toc300835086"/>
      <w:r>
        <w:rPr>
          <w:rFonts w:hint="eastAsia" w:ascii="黑体" w:hAnsi="宋体" w:eastAsia="黑体" w:cs="黑体"/>
          <w:color w:val="000000"/>
          <w:sz w:val="24"/>
          <w:szCs w:val="24"/>
        </w:rPr>
        <w:t>6.1 承包人提供的材料和工程设备</w:t>
      </w:r>
      <w:bookmarkEnd w:id="240"/>
      <w:bookmarkEnd w:id="241"/>
      <w:bookmarkEnd w:id="242"/>
      <w:bookmarkEnd w:id="243"/>
      <w:bookmarkEnd w:id="244"/>
      <w:bookmarkEnd w:id="245"/>
      <w:bookmarkEnd w:id="246"/>
    </w:p>
    <w:p w14:paraId="247F14D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6.1.1除专用合同条款另有约定外，承包人提供的材料和工程设备均由承包人负责采购、运输和保管。承包人应对其采购的材料和工程设备负责。</w:t>
      </w:r>
    </w:p>
    <w:p w14:paraId="2C4B95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6.1.2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50939D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1A0B29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47" w:name="_Toc247527689"/>
      <w:bookmarkStart w:id="248" w:name="_Toc247514088"/>
      <w:bookmarkStart w:id="249" w:name="_Toc300835087"/>
      <w:r>
        <w:rPr>
          <w:rFonts w:hint="eastAsia" w:ascii="黑体" w:hAnsi="宋体" w:eastAsia="黑体" w:cs="黑体"/>
          <w:color w:val="000000"/>
          <w:sz w:val="24"/>
          <w:szCs w:val="24"/>
        </w:rPr>
        <w:t>6.2 发包人提供的材料和工程设备</w:t>
      </w:r>
      <w:bookmarkEnd w:id="247"/>
      <w:bookmarkEnd w:id="248"/>
      <w:bookmarkEnd w:id="249"/>
      <w:r>
        <w:rPr>
          <w:rFonts w:hint="eastAsia" w:ascii="黑体" w:hAnsi="宋体" w:eastAsia="黑体" w:cs="黑体"/>
          <w:color w:val="000000"/>
          <w:sz w:val="24"/>
          <w:szCs w:val="24"/>
        </w:rPr>
        <w:t>（A）</w:t>
      </w:r>
    </w:p>
    <w:p w14:paraId="068CDE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6.2.1专用合同条款约定发包人提供部分材料和工程设备的，应写明材料和工程设备的名称、规格、数量、价格、交货方式、交货地点等。</w:t>
      </w:r>
    </w:p>
    <w:p w14:paraId="7B162D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6.2.2承包人应根据合同进度计划的安排，向监理人报送要求发包人交货的日期计划。发包人应按照监理人与合同双方当事人商定的交货日期，向承包人提交材料和工程设备。</w:t>
      </w:r>
    </w:p>
    <w:p w14:paraId="6B28D0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6.2.3发包人应在材料和工程设备到货7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016ADCD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6.2.4发包人要求向承包人提前交货的，承包人不得拒绝，但发包人应承担承包人由此增加的费用。</w:t>
      </w:r>
    </w:p>
    <w:p w14:paraId="3A5671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6.2.5承包人要求更改交货日期或地点的，应事先报请监理人批准。由于承包人要求更改交货时间或地点所增加的费用和（或）工期延误由承包人承担。</w:t>
      </w:r>
    </w:p>
    <w:p w14:paraId="75AB8D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6.2.6发包人提供的材料和工程设备的规格、数量或质量不符合合同要求，或由于发包人原因发生交货日期延误及交货地点变更等情况的，发包人应承担由此增加的费用和（或）工期延误，并向承包人支付合理利润。</w:t>
      </w:r>
    </w:p>
    <w:p w14:paraId="111ECC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50" w:name="_Toc247527690"/>
      <w:bookmarkStart w:id="251" w:name="_Toc247514089"/>
      <w:bookmarkStart w:id="252" w:name="_Toc300835089"/>
      <w:r>
        <w:rPr>
          <w:rFonts w:hint="eastAsia" w:ascii="黑体" w:hAnsi="宋体" w:eastAsia="黑体" w:cs="黑体"/>
          <w:color w:val="000000"/>
          <w:sz w:val="24"/>
          <w:szCs w:val="24"/>
        </w:rPr>
        <w:t>6.2 发包人提供的材料和工程设备（B）</w:t>
      </w:r>
      <w:bookmarkEnd w:id="250"/>
      <w:bookmarkEnd w:id="251"/>
      <w:bookmarkEnd w:id="252"/>
    </w:p>
    <w:p w14:paraId="48F8B5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发包人不提供材料和工程设备。</w:t>
      </w:r>
    </w:p>
    <w:p w14:paraId="27C9C94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53" w:name="_Toc247527691"/>
      <w:bookmarkStart w:id="254" w:name="_Toc247514090"/>
      <w:bookmarkStart w:id="255" w:name="_Toc300835090"/>
      <w:r>
        <w:rPr>
          <w:rFonts w:hint="eastAsia" w:ascii="黑体" w:hAnsi="宋体" w:eastAsia="黑体" w:cs="黑体"/>
          <w:color w:val="000000"/>
          <w:sz w:val="24"/>
          <w:szCs w:val="24"/>
        </w:rPr>
        <w:t>6.3</w:t>
      </w:r>
      <w:bookmarkEnd w:id="253"/>
      <w:r>
        <w:rPr>
          <w:rFonts w:hint="eastAsia" w:ascii="黑体" w:hAnsi="宋体" w:eastAsia="黑体" w:cs="黑体"/>
          <w:color w:val="000000"/>
          <w:sz w:val="24"/>
          <w:szCs w:val="24"/>
        </w:rPr>
        <w:t>专用于工程的材料和工程设备</w:t>
      </w:r>
      <w:bookmarkEnd w:id="254"/>
      <w:bookmarkEnd w:id="255"/>
    </w:p>
    <w:p w14:paraId="6896A3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6.3.1 运入施工场地的材料、工程设备，包括备品备件、安装专用工器具与随机资料，必须专用于合同约定范围内的工程，未经监理人同意，承包人不得运出施工场地或挪作他用。</w:t>
      </w:r>
    </w:p>
    <w:p w14:paraId="1F4EBF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8047D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56" w:name="_Toc300835091"/>
      <w:r>
        <w:rPr>
          <w:rFonts w:hint="eastAsia" w:ascii="黑体" w:hAnsi="宋体" w:eastAsia="黑体" w:cs="黑体"/>
          <w:color w:val="000000"/>
          <w:sz w:val="24"/>
          <w:szCs w:val="24"/>
        </w:rPr>
        <w:t>6.4</w:t>
      </w:r>
      <w:bookmarkEnd w:id="256"/>
      <w:r>
        <w:rPr>
          <w:rFonts w:hint="eastAsia" w:ascii="黑体" w:hAnsi="宋体" w:eastAsia="黑体" w:cs="黑体"/>
          <w:color w:val="000000"/>
          <w:sz w:val="24"/>
          <w:szCs w:val="24"/>
        </w:rPr>
        <w:t>实施方法</w:t>
      </w:r>
    </w:p>
    <w:p w14:paraId="63FAA2A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承包人对材料的加工、工程设备的采购、制造、安装应当按照法律规定、合同约定以及行业习惯来实施。</w:t>
      </w:r>
    </w:p>
    <w:p w14:paraId="26CC3C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bookmarkStart w:id="257" w:name="_Toc79760311"/>
      <w:r>
        <w:rPr>
          <w:rFonts w:hint="eastAsia" w:ascii="黑体" w:hAnsi="宋体" w:eastAsia="黑体" w:cs="黑体"/>
          <w:color w:val="000000"/>
          <w:sz w:val="24"/>
          <w:szCs w:val="24"/>
        </w:rPr>
        <w:t>6.5 禁止使用不合格的材料和工程设备</w:t>
      </w:r>
      <w:bookmarkEnd w:id="257"/>
    </w:p>
    <w:p w14:paraId="160D33F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6.5.1 监理人有权拒绝承包人提供的不合格材料或工程设备，并要求承包人立即进行更换。监理人应在更换后再次进行检查和检验，由此增加的费用和（或）工期延误由承包人承担。</w:t>
      </w:r>
    </w:p>
    <w:p w14:paraId="667D82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6.5.2 监理人发现承包人使用了不合格的材料和工程设备，应及时发出指示要求承包人立即改正，并禁止在工程中继续使用不合格的材料和工程设备。</w:t>
      </w:r>
    </w:p>
    <w:p w14:paraId="4E4FDC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6.5.3 发包人提供的材料或工程设备不符合合同要求的，承包人有权拒绝，并可要求发包人更换，由此增加的费用和（或）工期延误由发包人承担。</w:t>
      </w:r>
    </w:p>
    <w:p w14:paraId="3E7115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258" w:name="_Toc79760312"/>
      <w:bookmarkStart w:id="259" w:name="_Toc29220"/>
      <w:bookmarkStart w:id="260" w:name="_Toc27619"/>
      <w:r>
        <w:rPr>
          <w:rFonts w:hint="eastAsia" w:ascii="黑体" w:hAnsi="宋体" w:eastAsia="黑体" w:cs="黑体"/>
          <w:color w:val="000000"/>
          <w:sz w:val="28"/>
          <w:szCs w:val="28"/>
        </w:rPr>
        <w:t>7. 施工设备和临时设施</w:t>
      </w:r>
      <w:bookmarkEnd w:id="258"/>
      <w:bookmarkEnd w:id="259"/>
      <w:bookmarkEnd w:id="260"/>
    </w:p>
    <w:p w14:paraId="7F083F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61" w:name="_Toc247514092"/>
      <w:bookmarkStart w:id="262" w:name="_Toc300835093"/>
      <w:bookmarkStart w:id="263" w:name="_Toc247527693"/>
      <w:r>
        <w:rPr>
          <w:rFonts w:hint="eastAsia" w:ascii="黑体" w:hAnsi="宋体" w:eastAsia="黑体" w:cs="黑体"/>
          <w:color w:val="000000"/>
          <w:sz w:val="24"/>
          <w:szCs w:val="24"/>
        </w:rPr>
        <w:t>7.1 承包人提供的施工设备和临时设施</w:t>
      </w:r>
      <w:bookmarkEnd w:id="261"/>
      <w:bookmarkEnd w:id="262"/>
      <w:bookmarkEnd w:id="263"/>
    </w:p>
    <w:p w14:paraId="3AF7A0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7.1.1承包人应按合同进度计划的要求，及时配置施工设备和修建临时设施。进入施工场地的承包人设备需经监理人核查后才能投入使用。承包人更换合同约定的承包人设备的，应报监理人批准。</w:t>
      </w:r>
    </w:p>
    <w:p w14:paraId="6F1E21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7.1.2除专用合同条款另有约定外，承包人应自行承担修建临时设施的费用。需要临时占地的，应由发包人办理申请手续并承担相应费用。</w:t>
      </w:r>
    </w:p>
    <w:p w14:paraId="376EE8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64" w:name="_Toc247514093"/>
      <w:bookmarkStart w:id="265" w:name="_Toc300835094"/>
      <w:bookmarkStart w:id="266" w:name="_Toc247527694"/>
      <w:r>
        <w:rPr>
          <w:rFonts w:hint="eastAsia" w:ascii="黑体" w:hAnsi="宋体" w:eastAsia="黑体" w:cs="黑体"/>
          <w:color w:val="000000"/>
          <w:sz w:val="24"/>
          <w:szCs w:val="24"/>
        </w:rPr>
        <w:t>7.2 发包人提供的施工设备和临时设施</w:t>
      </w:r>
      <w:bookmarkEnd w:id="264"/>
      <w:bookmarkEnd w:id="265"/>
      <w:bookmarkEnd w:id="266"/>
      <w:r>
        <w:rPr>
          <w:rFonts w:hint="eastAsia" w:ascii="黑体" w:hAnsi="宋体" w:eastAsia="黑体" w:cs="黑体"/>
          <w:color w:val="000000"/>
          <w:sz w:val="24"/>
          <w:szCs w:val="24"/>
        </w:rPr>
        <w:t>（A）</w:t>
      </w:r>
    </w:p>
    <w:p w14:paraId="00A6637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67" w:name="_Toc300835095"/>
      <w:r>
        <w:rPr>
          <w:rFonts w:hint="eastAsia" w:ascii="宋体" w:hAnsi="宋体" w:eastAsia="宋体" w:cs="宋体"/>
          <w:color w:val="000000"/>
          <w:sz w:val="24"/>
          <w:szCs w:val="24"/>
        </w:rPr>
        <w:t>发包人提供的施工设备或临时设施在专用合同条款中约定。</w:t>
      </w:r>
      <w:bookmarkEnd w:id="267"/>
    </w:p>
    <w:p w14:paraId="58D6EE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68" w:name="_Toc79760313"/>
      <w:r>
        <w:rPr>
          <w:rFonts w:hint="eastAsia" w:ascii="黑体" w:hAnsi="宋体" w:eastAsia="黑体" w:cs="黑体"/>
          <w:color w:val="000000"/>
          <w:sz w:val="24"/>
          <w:szCs w:val="24"/>
        </w:rPr>
        <w:t>7.2 发包人提供的施工设备和临时设施（B）</w:t>
      </w:r>
      <w:bookmarkEnd w:id="268"/>
    </w:p>
    <w:p w14:paraId="4CAF23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发包人不提供施工设备或临时设施。</w:t>
      </w:r>
    </w:p>
    <w:p w14:paraId="6F8540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69" w:name="_Toc247527695"/>
      <w:bookmarkStart w:id="270" w:name="_Toc300835096"/>
      <w:bookmarkStart w:id="271" w:name="_Toc247514094"/>
      <w:r>
        <w:rPr>
          <w:rFonts w:hint="eastAsia" w:ascii="黑体" w:hAnsi="宋体" w:eastAsia="黑体" w:cs="黑体"/>
          <w:color w:val="000000"/>
          <w:sz w:val="24"/>
          <w:szCs w:val="24"/>
        </w:rPr>
        <w:t>7.3 要求承包人增加或更换施工设备</w:t>
      </w:r>
      <w:bookmarkEnd w:id="269"/>
      <w:bookmarkEnd w:id="270"/>
      <w:bookmarkEnd w:id="271"/>
    </w:p>
    <w:p w14:paraId="2A27ED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承包人使用的施工设备不能满足合同进度计划和（或）质量标准时，监理人有权要求承包人增加或更换施工设备，承包人应及时增加或更换，由此增加的费用和（或）工期延误由承包人承担。</w:t>
      </w:r>
    </w:p>
    <w:p w14:paraId="593A52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72" w:name="_Toc300835097"/>
      <w:bookmarkStart w:id="273" w:name="_Toc247514095"/>
      <w:bookmarkStart w:id="274" w:name="_Toc247527696"/>
      <w:r>
        <w:rPr>
          <w:rFonts w:hint="eastAsia" w:ascii="黑体" w:hAnsi="宋体" w:eastAsia="黑体" w:cs="黑体"/>
          <w:color w:val="000000"/>
          <w:sz w:val="24"/>
          <w:szCs w:val="24"/>
        </w:rPr>
        <w:t>7.4 施工设备和临时设施专用于合同工程</w:t>
      </w:r>
      <w:bookmarkEnd w:id="272"/>
      <w:bookmarkEnd w:id="273"/>
      <w:bookmarkEnd w:id="274"/>
    </w:p>
    <w:p w14:paraId="65CD5DC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7.4.1 除合同另有约定外，运入施工场地的所有施工设备以及在施工场地建设的临时设施应专用于合同工程。未经监理人同意，不得将上述施工设备和临时设施中的任何部分运出施工场地或挪作他用。</w:t>
      </w:r>
    </w:p>
    <w:p w14:paraId="2EE1E2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7.4.2 经监理人同意，承包人可根据合同进度计划撤走闲置的施工设备。</w:t>
      </w:r>
    </w:p>
    <w:p w14:paraId="3A1668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275" w:name="_Toc79760314"/>
      <w:bookmarkStart w:id="276" w:name="_Toc24884"/>
      <w:bookmarkStart w:id="277" w:name="_Toc247527697"/>
      <w:bookmarkStart w:id="278" w:name="_Toc247514096"/>
      <w:bookmarkStart w:id="279" w:name="_Toc184635104"/>
      <w:bookmarkStart w:id="280" w:name="_Toc300835098"/>
      <w:bookmarkStart w:id="281" w:name="_Toc5293"/>
      <w:r>
        <w:rPr>
          <w:rFonts w:hint="eastAsia" w:ascii="黑体" w:hAnsi="宋体" w:eastAsia="黑体" w:cs="黑体"/>
          <w:color w:val="000000"/>
          <w:sz w:val="28"/>
          <w:szCs w:val="28"/>
        </w:rPr>
        <w:t>8. 交通运输</w:t>
      </w:r>
      <w:bookmarkEnd w:id="275"/>
      <w:bookmarkEnd w:id="276"/>
      <w:bookmarkEnd w:id="277"/>
      <w:bookmarkEnd w:id="278"/>
      <w:bookmarkEnd w:id="279"/>
      <w:bookmarkEnd w:id="280"/>
      <w:bookmarkEnd w:id="281"/>
    </w:p>
    <w:p w14:paraId="037049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82" w:name="_Toc300835099"/>
      <w:bookmarkStart w:id="283" w:name="_Toc247527698"/>
      <w:bookmarkStart w:id="284" w:name="_Toc247514097"/>
      <w:r>
        <w:rPr>
          <w:rFonts w:hint="eastAsia" w:ascii="黑体" w:hAnsi="宋体" w:eastAsia="黑体" w:cs="黑体"/>
          <w:color w:val="000000"/>
          <w:sz w:val="24"/>
          <w:szCs w:val="24"/>
        </w:rPr>
        <w:t>8.1 道路通行权和场外设施</w:t>
      </w:r>
      <w:bookmarkEnd w:id="282"/>
      <w:bookmarkEnd w:id="283"/>
      <w:bookmarkEnd w:id="284"/>
      <w:r>
        <w:rPr>
          <w:rFonts w:hint="eastAsia" w:ascii="黑体" w:hAnsi="宋体" w:eastAsia="黑体" w:cs="黑体"/>
          <w:color w:val="000000"/>
          <w:sz w:val="24"/>
          <w:szCs w:val="24"/>
        </w:rPr>
        <w:t>（A）</w:t>
      </w:r>
    </w:p>
    <w:p w14:paraId="24D96D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发包人应根据工程的施工需要，负责办理取得出入施工场地的专用和临时道路的通行权，以及取得为工程建设所需修建场外设施的权利，并承担有关费用。承包人应协助发包人办理上述手续。</w:t>
      </w:r>
    </w:p>
    <w:p w14:paraId="664795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黑体" w:hAnsi="宋体" w:eastAsia="黑体" w:cs="黑体"/>
          <w:color w:val="000000"/>
          <w:sz w:val="24"/>
          <w:szCs w:val="24"/>
        </w:rPr>
        <w:t>8.1 道路通行权和场外设施（B）</w:t>
      </w:r>
    </w:p>
    <w:p w14:paraId="5EDE54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承包人应根据工程的施工需要，负责办理取得出入施工场地的专用和临时道路的通行权，以及取得为工程建设所需修建场外设施的权利，并承担有关费用。发包人应协助承包人办理上述手续。</w:t>
      </w:r>
    </w:p>
    <w:p w14:paraId="294FFE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85" w:name="_Toc300835101"/>
      <w:bookmarkStart w:id="286" w:name="_Toc247514098"/>
      <w:bookmarkStart w:id="287" w:name="_Toc247527699"/>
      <w:r>
        <w:rPr>
          <w:rFonts w:hint="eastAsia" w:ascii="黑体" w:hAnsi="宋体" w:eastAsia="黑体" w:cs="黑体"/>
          <w:color w:val="000000"/>
          <w:sz w:val="24"/>
          <w:szCs w:val="24"/>
        </w:rPr>
        <w:t>8.2 场内施工道路</w:t>
      </w:r>
      <w:bookmarkEnd w:id="285"/>
      <w:bookmarkEnd w:id="286"/>
      <w:bookmarkEnd w:id="287"/>
    </w:p>
    <w:p w14:paraId="39C684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8.2.1除专用合同条款另有约定外，承包人应负责修建、维修、养护和管理施工所需的临时道路和交通设施，包括维修、养护和管理发包人提供的道路和交通设施，并承担相应费用。</w:t>
      </w:r>
    </w:p>
    <w:p w14:paraId="11A0EF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8.2.2除专用合同条款另有约定外，承包人修建的临时道路和交通设施应免费提供发包人和监理人为实现合同目的使用。</w:t>
      </w:r>
    </w:p>
    <w:p w14:paraId="21CA5A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88" w:name="_Toc300835102"/>
      <w:bookmarkStart w:id="289" w:name="_Toc247527700"/>
      <w:bookmarkStart w:id="290" w:name="_Toc247514099"/>
      <w:r>
        <w:rPr>
          <w:rFonts w:hint="eastAsia" w:ascii="黑体" w:hAnsi="宋体" w:eastAsia="黑体" w:cs="黑体"/>
          <w:color w:val="000000"/>
          <w:sz w:val="24"/>
          <w:szCs w:val="24"/>
        </w:rPr>
        <w:t>8.3 场外交通</w:t>
      </w:r>
      <w:bookmarkEnd w:id="288"/>
      <w:bookmarkEnd w:id="289"/>
      <w:bookmarkEnd w:id="290"/>
    </w:p>
    <w:p w14:paraId="30F9C1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8.3.1 承包人车辆外出行驶所需的场外公共道路的通行费、养路费和税款等由承包人承担。</w:t>
      </w:r>
    </w:p>
    <w:p w14:paraId="13DAB6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8.3.2 承包人应遵守有关交通法规，严格按照道路和桥梁的限制荷重安全行驶，并服从交通管理部门的检查和监督。</w:t>
      </w:r>
    </w:p>
    <w:p w14:paraId="4C8182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291" w:name="_Toc300835103"/>
      <w:bookmarkStart w:id="292" w:name="_Toc247514100"/>
      <w:bookmarkStart w:id="293" w:name="_Toc247527701"/>
      <w:r>
        <w:rPr>
          <w:rFonts w:hint="eastAsia" w:ascii="黑体" w:hAnsi="宋体" w:eastAsia="黑体" w:cs="黑体"/>
          <w:color w:val="000000"/>
          <w:sz w:val="24"/>
          <w:szCs w:val="24"/>
        </w:rPr>
        <w:t>8.4 超大件和超重件的运输</w:t>
      </w:r>
      <w:bookmarkEnd w:id="291"/>
      <w:bookmarkEnd w:id="292"/>
      <w:bookmarkEnd w:id="293"/>
    </w:p>
    <w:p w14:paraId="3E2081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58025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94" w:name="_Toc300835104"/>
      <w:bookmarkStart w:id="295" w:name="_Toc247527702"/>
      <w:bookmarkStart w:id="296" w:name="_Toc247514101"/>
      <w:r>
        <w:rPr>
          <w:rFonts w:hint="eastAsia" w:ascii="黑体" w:hAnsi="宋体" w:eastAsia="黑体" w:cs="黑体"/>
          <w:color w:val="000000"/>
          <w:sz w:val="24"/>
          <w:szCs w:val="24"/>
        </w:rPr>
        <w:t>8.5 道路和桥梁的损坏责任</w:t>
      </w:r>
      <w:bookmarkEnd w:id="294"/>
      <w:bookmarkEnd w:id="295"/>
      <w:bookmarkEnd w:id="296"/>
    </w:p>
    <w:p w14:paraId="3816A5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因承包人运输造成施工场地内外公共道路和桥梁损坏的，由承包人承担修复损坏的全部费用和可能引起的赔偿。</w:t>
      </w:r>
    </w:p>
    <w:p w14:paraId="1F09D6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297" w:name="_Toc300835105"/>
      <w:bookmarkStart w:id="298" w:name="_Toc247514102"/>
      <w:bookmarkStart w:id="299" w:name="_Toc247527703"/>
      <w:r>
        <w:rPr>
          <w:rFonts w:hint="eastAsia" w:ascii="黑体" w:hAnsi="宋体" w:eastAsia="黑体" w:cs="黑体"/>
          <w:color w:val="000000"/>
          <w:sz w:val="24"/>
          <w:szCs w:val="24"/>
        </w:rPr>
        <w:t>8.6 水路和航空运输</w:t>
      </w:r>
      <w:bookmarkEnd w:id="297"/>
      <w:bookmarkEnd w:id="298"/>
      <w:bookmarkEnd w:id="299"/>
    </w:p>
    <w:p w14:paraId="260CE0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本条上述各款的内容适用于水路运输和航空运输，其中“道路”一词的涵义包括河道、航线、船闸、机场、码头、堤防以及水路或航空运输中其他相似结构物；“车辆”一词的涵义包括船舶和飞机等。</w:t>
      </w:r>
    </w:p>
    <w:p w14:paraId="7CE44B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300" w:name="_Toc247514103"/>
      <w:bookmarkStart w:id="301" w:name="_Toc247527704"/>
      <w:bookmarkStart w:id="302" w:name="_Toc300835106"/>
      <w:bookmarkStart w:id="303" w:name="_Toc79760315"/>
      <w:bookmarkStart w:id="304" w:name="_Toc14850"/>
      <w:bookmarkStart w:id="305" w:name="_Toc8844"/>
      <w:bookmarkStart w:id="306" w:name="_Toc184635105"/>
      <w:r>
        <w:rPr>
          <w:rFonts w:hint="eastAsia" w:ascii="黑体" w:hAnsi="宋体" w:eastAsia="黑体" w:cs="黑体"/>
          <w:color w:val="000000"/>
          <w:sz w:val="28"/>
          <w:szCs w:val="28"/>
        </w:rPr>
        <w:t>9. 测量放线</w:t>
      </w:r>
      <w:bookmarkEnd w:id="300"/>
      <w:bookmarkEnd w:id="301"/>
      <w:bookmarkEnd w:id="302"/>
      <w:bookmarkEnd w:id="303"/>
      <w:bookmarkEnd w:id="304"/>
      <w:bookmarkEnd w:id="305"/>
      <w:bookmarkEnd w:id="306"/>
    </w:p>
    <w:p w14:paraId="16893A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307" w:name="_Toc247514105"/>
      <w:bookmarkStart w:id="308" w:name="_Toc300835108"/>
      <w:bookmarkStart w:id="309" w:name="_Toc247527706"/>
      <w:r>
        <w:rPr>
          <w:rFonts w:hint="eastAsia" w:ascii="黑体" w:hAnsi="宋体" w:eastAsia="黑体" w:cs="黑体"/>
          <w:color w:val="000000"/>
          <w:sz w:val="24"/>
          <w:szCs w:val="24"/>
        </w:rPr>
        <w:t>9.1 施工控制网</w:t>
      </w:r>
      <w:bookmarkEnd w:id="307"/>
      <w:bookmarkEnd w:id="308"/>
      <w:bookmarkEnd w:id="309"/>
    </w:p>
    <w:p w14:paraId="724734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9.1.1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00932B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9.1.2 承包人应负责管理施工控制网点。施工控制网点丢失或损坏的，承包人应及时修复。承包人应承担施工控制网点的管理与修复费用，并在工程竣工后将施工控制网点移交发包人。</w:t>
      </w:r>
    </w:p>
    <w:p w14:paraId="5EAA1C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310" w:name="_Toc247514106"/>
      <w:bookmarkStart w:id="311" w:name="_Toc247527707"/>
      <w:bookmarkStart w:id="312" w:name="_Toc300835109"/>
      <w:r>
        <w:rPr>
          <w:rFonts w:hint="eastAsia" w:ascii="黑体" w:hAnsi="宋体" w:eastAsia="黑体" w:cs="黑体"/>
          <w:color w:val="000000"/>
          <w:sz w:val="24"/>
          <w:szCs w:val="24"/>
        </w:rPr>
        <w:t>9.2 施工测量</w:t>
      </w:r>
      <w:bookmarkEnd w:id="310"/>
      <w:bookmarkEnd w:id="311"/>
      <w:bookmarkEnd w:id="312"/>
    </w:p>
    <w:p w14:paraId="0B3F12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9.2.1 承包人应负责施工过程中的全部施工测量放线工作，并配置合格的人员、仪器、设备和其他物品。</w:t>
      </w:r>
    </w:p>
    <w:p w14:paraId="6FDEA9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9.2.2 监理人可以指示承包人进行抽样复测，当复测中发现错误或出现超过合同约定的误差时，承包人应按监理人指示进行修正或补测，并承担相应的复测费用。</w:t>
      </w:r>
    </w:p>
    <w:p w14:paraId="4C0390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黑体" w:hAnsi="宋体" w:eastAsia="黑体" w:cs="黑体"/>
          <w:color w:val="000000"/>
          <w:sz w:val="24"/>
          <w:szCs w:val="24"/>
        </w:rPr>
        <w:t>9.3 基准资料错误的责任</w:t>
      </w:r>
    </w:p>
    <w:p w14:paraId="1B05EC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发包人应对其提供的测量基准点、基准线和水准点及其书面资料的真实性、准确性和完整性负责，对其提供上述基准资料错误导致承包人损失的，发包人应当承担由此增加的费用和（或）工期延误。承包人应在设计或施工中对上述资料的准确性进行核实，发现存在明显错误或疏忽的，应及时通知监理人。</w:t>
      </w:r>
    </w:p>
    <w:p w14:paraId="0C355D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313" w:name="_Toc79760316"/>
      <w:r>
        <w:rPr>
          <w:rFonts w:hint="eastAsia" w:ascii="黑体" w:hAnsi="宋体" w:eastAsia="黑体" w:cs="黑体"/>
          <w:color w:val="000000"/>
          <w:sz w:val="24"/>
          <w:szCs w:val="24"/>
        </w:rPr>
        <w:t>9.4 监理人使用施工控制网</w:t>
      </w:r>
      <w:bookmarkEnd w:id="313"/>
    </w:p>
    <w:p w14:paraId="15B019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监理人需要使用施工控制网的，承包人应提供必要的协助，发包人不再为此支付费用。</w:t>
      </w:r>
    </w:p>
    <w:p w14:paraId="1A0BAB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jc w:val="both"/>
      </w:pPr>
      <w:bookmarkStart w:id="314" w:name="_Toc337558763"/>
      <w:bookmarkStart w:id="315" w:name="_Toc25887"/>
      <w:bookmarkStart w:id="316" w:name="_Toc79760317"/>
      <w:bookmarkStart w:id="317" w:name="_Toc19738"/>
      <w:bookmarkStart w:id="318" w:name="_Toc523252221"/>
      <w:bookmarkStart w:id="319" w:name="_Toc522694278"/>
      <w:bookmarkStart w:id="320" w:name="_Toc351203538"/>
      <w:r>
        <w:rPr>
          <w:rFonts w:hint="eastAsia" w:ascii="黑体" w:hAnsi="宋体" w:eastAsia="黑体" w:cs="黑体"/>
          <w:color w:val="000000"/>
          <w:sz w:val="28"/>
          <w:szCs w:val="28"/>
        </w:rPr>
        <w:t>10. 安全</w:t>
      </w:r>
      <w:bookmarkEnd w:id="314"/>
      <w:bookmarkEnd w:id="315"/>
      <w:bookmarkEnd w:id="316"/>
      <w:r>
        <w:rPr>
          <w:rFonts w:hint="eastAsia" w:ascii="黑体" w:hAnsi="宋体" w:eastAsia="黑体" w:cs="黑体"/>
          <w:color w:val="000000"/>
          <w:sz w:val="28"/>
          <w:szCs w:val="28"/>
        </w:rPr>
        <w:t>、治安保卫和环境保护</w:t>
      </w:r>
      <w:bookmarkEnd w:id="317"/>
      <w:bookmarkEnd w:id="318"/>
      <w:bookmarkEnd w:id="319"/>
      <w:bookmarkEnd w:id="320"/>
    </w:p>
    <w:p w14:paraId="4DD618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21" w:name="_Toc247514114"/>
      <w:bookmarkStart w:id="322" w:name="_Toc184635108"/>
      <w:bookmarkStart w:id="323" w:name="_Toc300835117"/>
      <w:bookmarkStart w:id="324" w:name="_Toc247527715"/>
      <w:bookmarkStart w:id="325" w:name="_Toc247527710"/>
      <w:bookmarkStart w:id="326" w:name="_Toc247514109"/>
      <w:bookmarkStart w:id="327" w:name="_Toc300835112"/>
      <w:r>
        <w:rPr>
          <w:rFonts w:hint="eastAsia" w:ascii="黑体" w:hAnsi="宋体" w:eastAsia="黑体" w:cs="黑体"/>
          <w:color w:val="000000"/>
          <w:sz w:val="24"/>
          <w:szCs w:val="24"/>
        </w:rPr>
        <w:t xml:space="preserve">10.1 </w:t>
      </w:r>
      <w:bookmarkEnd w:id="321"/>
      <w:bookmarkEnd w:id="322"/>
      <w:bookmarkEnd w:id="323"/>
      <w:r>
        <w:rPr>
          <w:rFonts w:hint="eastAsia" w:ascii="黑体" w:hAnsi="宋体" w:eastAsia="黑体" w:cs="黑体"/>
          <w:color w:val="000000"/>
          <w:sz w:val="24"/>
          <w:szCs w:val="24"/>
        </w:rPr>
        <w:t>发包人的安全责任</w:t>
      </w:r>
      <w:bookmarkEnd w:id="324"/>
      <w:bookmarkEnd w:id="325"/>
      <w:bookmarkEnd w:id="326"/>
      <w:bookmarkEnd w:id="327"/>
    </w:p>
    <w:p w14:paraId="55C49C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10.1.1 发包人应按合同约定履行安全职责，授权监理人按合同约定的安全工作内容监督、检查承包人安全工作的实施，组织承包人和有关单位进行安全检查。</w:t>
      </w:r>
    </w:p>
    <w:p w14:paraId="237020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10.1.2发包人应对其现场机构雇佣的全部人员的工伤事故承担责任，但由于承包人原因造成发包人人员工伤的，应由承包人承担责任。</w:t>
      </w:r>
    </w:p>
    <w:p w14:paraId="556F7F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10.1.3发包人应负责赔偿以下各种情况造成的第三者人身伤亡和财产损失：</w:t>
      </w:r>
    </w:p>
    <w:p w14:paraId="33B6D0A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由于发包人原因在施工场地及其毗邻地带、履行合同工作中造成的第三者人身伤亡和财产损失。</w:t>
      </w:r>
    </w:p>
    <w:p w14:paraId="1BE55E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28" w:name="_Toc247514110"/>
      <w:bookmarkStart w:id="329" w:name="_Toc300835113"/>
      <w:bookmarkStart w:id="330" w:name="_Toc247527711"/>
      <w:r>
        <w:rPr>
          <w:rFonts w:hint="eastAsia" w:ascii="黑体" w:hAnsi="宋体" w:eastAsia="黑体" w:cs="黑体"/>
          <w:color w:val="000000"/>
          <w:sz w:val="24"/>
          <w:szCs w:val="24"/>
        </w:rPr>
        <w:t xml:space="preserve">10.2 </w:t>
      </w:r>
      <w:bookmarkEnd w:id="328"/>
      <w:bookmarkEnd w:id="329"/>
      <w:bookmarkEnd w:id="330"/>
      <w:r>
        <w:rPr>
          <w:rFonts w:hint="eastAsia" w:ascii="黑体" w:hAnsi="宋体" w:eastAsia="黑体" w:cs="黑体"/>
          <w:color w:val="000000"/>
          <w:sz w:val="24"/>
          <w:szCs w:val="24"/>
        </w:rPr>
        <w:t>承包人的安全责任</w:t>
      </w:r>
    </w:p>
    <w:p w14:paraId="1D853B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10.2.1 承包人应按合同约定履行安全职责，执行监理人有关安全工作的指示，并在专用合同条款约定的期限内，按合同约定的安全工作内容，编制安全措施计划报送监理人批准。</w:t>
      </w:r>
    </w:p>
    <w:p w14:paraId="7588A9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10.2.2 承包人按照合同约定需要进行勘察的，应严格执行操作规程，采取措施保证各类管线、设施和周边建筑物、构筑物的安全。</w:t>
      </w:r>
    </w:p>
    <w:p w14:paraId="6403E8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10.2.3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25151D2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10.2.4 承包人应加强施工作业安全管理，特别应加强易燃、易爆材料、火工器材、有毒与腐蚀性材料和其他危险品的管理，以及对爆破作业和地下工程施工等危险作业的管理。</w:t>
      </w:r>
    </w:p>
    <w:p w14:paraId="3670BD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10.2.5 承包人应严格按照国家安全标准制定施工安全操作规程，配备必要的安全生产和劳动保护设施，加强对承包人人员的安全教育，并发放安全工作手册和劳动保护用具。</w:t>
      </w:r>
    </w:p>
    <w:p w14:paraId="1CD82A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10.2.6 承包人应按监理人的指示制定应对灾害的紧急预案，报送监理人批准。承包人还应按预案做好安全检查，配置必要的救助物资和器材，切实保护好有关人员的人身和财产安全。</w:t>
      </w:r>
    </w:p>
    <w:p w14:paraId="46BC26A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10.2.7 合同约定的安全作业环境及安全施工措施所需费用应遵守有关规定，并包括在相关工作的合同价格中。因采取合同未约定的安全作业环境及安全施工措施增加的费用，由监理人按第3.5 款商定或确定。</w:t>
      </w:r>
    </w:p>
    <w:p w14:paraId="75CCC2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10.2.8 承包人应对其履行合同所雇佣的全部人员，包括分包人人员的工伤事故承担责任，但由于发包人原因造成承包人人员工伤事故的，应由发包人承担责任。</w:t>
      </w:r>
    </w:p>
    <w:p w14:paraId="613756D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10.2.9 由于承包人原因在施工场地内及其毗邻地带造成的第三者人员伤亡和财产损失，由承包人负责赔偿。</w:t>
      </w:r>
    </w:p>
    <w:p w14:paraId="4EA9A6F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31" w:name="_Toc247514112"/>
      <w:bookmarkStart w:id="332" w:name="_Toc300835115"/>
      <w:bookmarkStart w:id="333" w:name="_Toc247527713"/>
      <w:r>
        <w:rPr>
          <w:rFonts w:hint="eastAsia" w:ascii="黑体" w:hAnsi="宋体" w:eastAsia="黑体" w:cs="黑体"/>
          <w:color w:val="000000"/>
          <w:sz w:val="24"/>
          <w:szCs w:val="24"/>
        </w:rPr>
        <w:t xml:space="preserve">10.3 </w:t>
      </w:r>
      <w:bookmarkEnd w:id="331"/>
      <w:bookmarkEnd w:id="332"/>
      <w:bookmarkEnd w:id="333"/>
      <w:r>
        <w:rPr>
          <w:rFonts w:hint="eastAsia" w:ascii="黑体" w:hAnsi="宋体" w:eastAsia="黑体" w:cs="黑体"/>
          <w:color w:val="000000"/>
          <w:sz w:val="24"/>
          <w:szCs w:val="24"/>
        </w:rPr>
        <w:t>治安保卫</w:t>
      </w:r>
    </w:p>
    <w:p w14:paraId="1925E6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34" w:name="_Toc247527714"/>
      <w:bookmarkStart w:id="335" w:name="_Toc300835116"/>
      <w:bookmarkStart w:id="336" w:name="_Toc247514113"/>
      <w:r>
        <w:rPr>
          <w:rFonts w:hint="eastAsia" w:ascii="宋体" w:hAnsi="宋体" w:eastAsia="宋体" w:cs="宋体"/>
          <w:color w:val="000000"/>
          <w:sz w:val="24"/>
          <w:szCs w:val="24"/>
        </w:rPr>
        <w:t>10.3.1 除合同另有约定外，承包人应与当地公安部门协商，在现场建立治安管理机构或联防组织，统一管理施工场地的治安保卫事项，履行合同工程的治安保卫职责。</w:t>
      </w:r>
      <w:bookmarkEnd w:id="334"/>
      <w:bookmarkEnd w:id="335"/>
      <w:bookmarkEnd w:id="336"/>
    </w:p>
    <w:p w14:paraId="1AA72D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10.3.2.承包人除应协助现场治安管理机构或联防组织维护施工场地的社会治安外，还应做好包括生活区在内的承包人管辖区的治安保卫工作。</w:t>
      </w:r>
    </w:p>
    <w:p w14:paraId="107C76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10.3.3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F0F25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10.4环境保护</w:t>
      </w:r>
    </w:p>
    <w:p w14:paraId="6501D9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10.4.1 承包人在履行合同过程中，应遵守有关环境保护的法律，履行合同约定的环境保护义务，并对违反法律和合同约定义务所造成的环境破坏、人身伤害和财产损失负责。</w:t>
      </w:r>
    </w:p>
    <w:p w14:paraId="719933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10.4.2 承包人应按合同约定的环保工作内容，编制环保措施计划，报送监理人批准。</w:t>
      </w:r>
    </w:p>
    <w:p w14:paraId="5645B2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10.4.3 承包人应确保施工过程中产生的气体排放物、粉尘、噪声、地面排水及排污等，符合法律规定和发包人要求。</w:t>
      </w:r>
    </w:p>
    <w:p w14:paraId="6B5C98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10.5事故处理</w:t>
      </w:r>
    </w:p>
    <w:p w14:paraId="5F7421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做出标记和书面记录，妥善保管有关证据。发包人和承包人应按国家有关规定，及时如实地向有关部门报告事故发生的情况，以及正在采取的紧急措施等。</w:t>
      </w:r>
    </w:p>
    <w:p w14:paraId="0C1D1A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jc w:val="both"/>
      </w:pPr>
      <w:bookmarkStart w:id="337" w:name="_Toc13060"/>
      <w:bookmarkStart w:id="338" w:name="_Toc79760318"/>
      <w:bookmarkStart w:id="339" w:name="_Toc9212"/>
      <w:r>
        <w:rPr>
          <w:rFonts w:hint="eastAsia" w:ascii="黑体" w:hAnsi="宋体" w:eastAsia="黑体" w:cs="黑体"/>
          <w:color w:val="000000"/>
          <w:sz w:val="28"/>
          <w:szCs w:val="28"/>
        </w:rPr>
        <w:t>11. 开始工作和竣工</w:t>
      </w:r>
      <w:bookmarkEnd w:id="337"/>
      <w:bookmarkEnd w:id="338"/>
      <w:bookmarkEnd w:id="339"/>
    </w:p>
    <w:p w14:paraId="34616E1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40" w:name="_Toc300835118"/>
      <w:bookmarkStart w:id="341" w:name="_Toc247527716"/>
      <w:bookmarkStart w:id="342" w:name="_Toc247514115"/>
      <w:r>
        <w:rPr>
          <w:rFonts w:hint="eastAsia" w:ascii="黑体" w:hAnsi="宋体" w:eastAsia="黑体" w:cs="黑体"/>
          <w:color w:val="000000"/>
          <w:sz w:val="24"/>
          <w:szCs w:val="24"/>
        </w:rPr>
        <w:t xml:space="preserve">11.1 </w:t>
      </w:r>
      <w:bookmarkEnd w:id="340"/>
      <w:bookmarkEnd w:id="341"/>
      <w:bookmarkEnd w:id="342"/>
      <w:r>
        <w:rPr>
          <w:rFonts w:hint="eastAsia" w:ascii="黑体" w:hAnsi="宋体" w:eastAsia="黑体" w:cs="黑体"/>
          <w:color w:val="000000"/>
          <w:sz w:val="24"/>
          <w:szCs w:val="24"/>
        </w:rPr>
        <w:t>开始工作</w:t>
      </w:r>
    </w:p>
    <w:p w14:paraId="0831882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19F2A2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343" w:name="_Toc300835119"/>
      <w:bookmarkStart w:id="344" w:name="_Toc247527717"/>
      <w:bookmarkStart w:id="345" w:name="_Toc247514116"/>
      <w:r>
        <w:rPr>
          <w:rFonts w:hint="eastAsia" w:ascii="黑体" w:hAnsi="宋体" w:eastAsia="黑体" w:cs="黑体"/>
          <w:color w:val="000000"/>
          <w:sz w:val="24"/>
          <w:szCs w:val="24"/>
        </w:rPr>
        <w:t xml:space="preserve">11.2 </w:t>
      </w:r>
      <w:bookmarkEnd w:id="343"/>
      <w:bookmarkEnd w:id="344"/>
      <w:bookmarkEnd w:id="345"/>
      <w:r>
        <w:rPr>
          <w:rFonts w:hint="eastAsia" w:ascii="黑体" w:hAnsi="宋体" w:eastAsia="黑体" w:cs="黑体"/>
          <w:color w:val="000000"/>
          <w:sz w:val="24"/>
          <w:szCs w:val="24"/>
        </w:rPr>
        <w:t>竣工</w:t>
      </w:r>
    </w:p>
    <w:p w14:paraId="4E9AC7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承包人应在第1.1.4.3 目约定的期限内完成合同工作。实际竣工日期按第18.3款约定确定，并在工程接收证书中载明。</w:t>
      </w:r>
    </w:p>
    <w:p w14:paraId="479D47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346" w:name="_Toc247514117"/>
      <w:bookmarkStart w:id="347" w:name="_Toc300835120"/>
      <w:bookmarkStart w:id="348" w:name="_Toc247527718"/>
      <w:r>
        <w:rPr>
          <w:rFonts w:hint="eastAsia" w:ascii="黑体" w:hAnsi="宋体" w:eastAsia="黑体" w:cs="黑体"/>
          <w:color w:val="000000"/>
          <w:sz w:val="24"/>
          <w:szCs w:val="24"/>
        </w:rPr>
        <w:t>11.3 发包人引起的工期延误</w:t>
      </w:r>
      <w:bookmarkEnd w:id="346"/>
      <w:bookmarkEnd w:id="347"/>
      <w:bookmarkEnd w:id="348"/>
    </w:p>
    <w:p w14:paraId="533380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349" w:name="_Toc247514118"/>
      <w:bookmarkStart w:id="350" w:name="_Toc300835121"/>
      <w:bookmarkStart w:id="351" w:name="_Toc247527719"/>
      <w:r>
        <w:rPr>
          <w:rFonts w:hint="eastAsia" w:ascii="宋体" w:hAnsi="宋体" w:eastAsia="宋体" w:cs="宋体"/>
          <w:color w:val="000000"/>
          <w:sz w:val="24"/>
          <w:szCs w:val="24"/>
        </w:rPr>
        <w:t>在履行合同过程中，由于发包人的下列原因造成工期延误的，承包人有权要求发包人延长工期和（或）增加费用，并支付合理利润。需要修订合同进度计划的，按照第4.12.2项的约定执行。</w:t>
      </w:r>
      <w:bookmarkEnd w:id="349"/>
      <w:bookmarkEnd w:id="350"/>
      <w:bookmarkEnd w:id="351"/>
    </w:p>
    <w:p w14:paraId="3EBB653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（l）由发包人提出的变更；</w:t>
      </w:r>
    </w:p>
    <w:p w14:paraId="04F2B53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（2）未能按照合同要求的期限对承包人文件进行审查；</w:t>
      </w:r>
    </w:p>
    <w:p w14:paraId="713F190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（3）因发包人原因导致的暂停施工； </w:t>
      </w:r>
    </w:p>
    <w:p w14:paraId="3F84DB7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 未按合同约定及时支付预付款、进度款；</w:t>
      </w:r>
    </w:p>
    <w:p w14:paraId="19BD6A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 发包人按第9.3款提供的基准资料错误；</w:t>
      </w:r>
    </w:p>
    <w:p w14:paraId="1AA4C2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（6）发包人按第6.2款迟延提供材料、工程设备或变更交货地点的；</w:t>
      </w:r>
    </w:p>
    <w:p w14:paraId="37ACF6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（7）发包人未及时按照“发包人要求”履行相关义务；</w:t>
      </w:r>
    </w:p>
    <w:p w14:paraId="1DC309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（8）发包人造成工期延误的其他原因。</w:t>
      </w:r>
    </w:p>
    <w:p w14:paraId="114C62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黑体" w:hAnsi="宋体" w:eastAsia="黑体" w:cs="黑体"/>
          <w:color w:val="000000"/>
          <w:sz w:val="24"/>
          <w:szCs w:val="24"/>
        </w:rPr>
        <w:t>11.4 异常恶劣的气候条件</w:t>
      </w:r>
    </w:p>
    <w:p w14:paraId="4B3D897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由于出现专用合同条款规定的异常恶劣气候的条件导致工期延误的，承包人有权要求发包人延长工期和（或）增加费用。</w:t>
      </w:r>
    </w:p>
    <w:p w14:paraId="56D805F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352" w:name="_Toc247514119"/>
      <w:bookmarkStart w:id="353" w:name="_Toc300835122"/>
      <w:bookmarkStart w:id="354" w:name="_Toc247527720"/>
      <w:r>
        <w:rPr>
          <w:rFonts w:hint="eastAsia" w:ascii="黑体" w:hAnsi="宋体" w:eastAsia="黑体" w:cs="黑体"/>
          <w:color w:val="000000"/>
          <w:sz w:val="24"/>
          <w:szCs w:val="24"/>
        </w:rPr>
        <w:t>11.5 承包人引起的工期延误</w:t>
      </w:r>
      <w:bookmarkEnd w:id="352"/>
      <w:bookmarkEnd w:id="353"/>
      <w:bookmarkEnd w:id="354"/>
    </w:p>
    <w:p w14:paraId="32A4089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1C4C39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355" w:name="_Toc247527721"/>
      <w:bookmarkStart w:id="356" w:name="_Toc247514120"/>
      <w:bookmarkStart w:id="357" w:name="_Toc300835123"/>
      <w:r>
        <w:rPr>
          <w:rFonts w:hint="eastAsia" w:ascii="黑体" w:hAnsi="宋体" w:eastAsia="黑体" w:cs="黑体"/>
          <w:color w:val="000000"/>
          <w:sz w:val="24"/>
          <w:szCs w:val="24"/>
        </w:rPr>
        <w:t xml:space="preserve">11.6 </w:t>
      </w:r>
      <w:bookmarkEnd w:id="355"/>
      <w:bookmarkEnd w:id="356"/>
      <w:bookmarkEnd w:id="357"/>
      <w:r>
        <w:rPr>
          <w:rFonts w:hint="eastAsia" w:ascii="黑体" w:hAnsi="宋体" w:eastAsia="黑体" w:cs="黑体"/>
          <w:color w:val="000000"/>
          <w:sz w:val="24"/>
          <w:szCs w:val="24"/>
        </w:rPr>
        <w:t>工期提前</w:t>
      </w:r>
    </w:p>
    <w:p w14:paraId="397E68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17C296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黑体" w:hAnsi="宋体" w:eastAsia="黑体" w:cs="黑体"/>
          <w:color w:val="000000"/>
          <w:sz w:val="24"/>
          <w:szCs w:val="24"/>
        </w:rPr>
        <w:t>11.7 行政审批迟延</w:t>
      </w:r>
    </w:p>
    <w:p w14:paraId="3ACFC6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合同约定范围内的工作需国家有关部门审批的，发包人和（或）承包人应按照合同约定的职责分工完成行政审批报送。因国家有关部门审批迟延造成费用增加和（或）工期延误的，由发包人承担。</w:t>
      </w:r>
    </w:p>
    <w:p w14:paraId="7E17E5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358" w:name="_Toc25226"/>
      <w:bookmarkStart w:id="359" w:name="_Toc19500"/>
      <w:bookmarkStart w:id="360" w:name="_Toc79760319"/>
      <w:bookmarkStart w:id="361" w:name="_Toc247527722"/>
      <w:bookmarkStart w:id="362" w:name="_Toc300835125"/>
      <w:bookmarkStart w:id="363" w:name="_Toc247514121"/>
      <w:bookmarkStart w:id="364" w:name="_Toc184635109"/>
      <w:r>
        <w:rPr>
          <w:rFonts w:hint="eastAsia" w:ascii="黑体" w:hAnsi="宋体" w:eastAsia="黑体" w:cs="黑体"/>
          <w:color w:val="000000"/>
          <w:sz w:val="28"/>
          <w:szCs w:val="28"/>
        </w:rPr>
        <w:t xml:space="preserve">12. </w:t>
      </w:r>
      <w:bookmarkEnd w:id="358"/>
      <w:bookmarkEnd w:id="359"/>
      <w:bookmarkEnd w:id="360"/>
      <w:bookmarkEnd w:id="361"/>
      <w:r>
        <w:rPr>
          <w:rFonts w:hint="eastAsia" w:ascii="黑体" w:hAnsi="宋体" w:eastAsia="黑体" w:cs="黑体"/>
          <w:color w:val="000000"/>
          <w:sz w:val="28"/>
          <w:szCs w:val="28"/>
        </w:rPr>
        <w:t>暂停工作</w:t>
      </w:r>
      <w:bookmarkEnd w:id="362"/>
      <w:bookmarkEnd w:id="363"/>
      <w:bookmarkEnd w:id="364"/>
    </w:p>
    <w:p w14:paraId="68BF94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365" w:name="_Toc300835126"/>
      <w:r>
        <w:rPr>
          <w:rFonts w:hint="eastAsia" w:ascii="黑体" w:hAnsi="宋体" w:eastAsia="黑体" w:cs="黑体"/>
          <w:color w:val="000000"/>
          <w:sz w:val="24"/>
          <w:szCs w:val="24"/>
        </w:rPr>
        <w:t xml:space="preserve">12.1 </w:t>
      </w:r>
      <w:bookmarkEnd w:id="365"/>
      <w:r>
        <w:rPr>
          <w:rFonts w:hint="eastAsia" w:ascii="黑体" w:hAnsi="宋体" w:eastAsia="黑体" w:cs="黑体"/>
          <w:color w:val="000000"/>
          <w:sz w:val="24"/>
          <w:szCs w:val="24"/>
        </w:rPr>
        <w:t>由发包人暂停工作</w:t>
      </w:r>
    </w:p>
    <w:p w14:paraId="477DBA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66" w:name="_Toc300835127"/>
      <w:r>
        <w:rPr>
          <w:rFonts w:hint="eastAsia" w:ascii="宋体" w:hAnsi="宋体" w:eastAsia="宋体" w:cs="宋体"/>
          <w:color w:val="000000"/>
          <w:sz w:val="24"/>
          <w:szCs w:val="24"/>
        </w:rPr>
        <w:t>12.1.1 发包人认为必要时，可通过监理人向承包人发出暂停工作的指示，承包人应按监理人指示暂停工作。由于发包人原因引起的暂停工作造成工期延误的，承包人有权要求发包人延长工期和（或）增加费用，并支付合理利润。</w:t>
      </w:r>
      <w:bookmarkEnd w:id="366"/>
    </w:p>
    <w:p w14:paraId="6CA3AC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12.1.2 由于承包人下列原因造成发包人暂停工作的，由此造成费用的增加和（或）工期延误由承包人承担：</w:t>
      </w:r>
    </w:p>
    <w:p w14:paraId="5C53899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（1）承包人违约；</w:t>
      </w:r>
    </w:p>
    <w:p w14:paraId="1568A3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（2）承包人擅自暂停工作；</w:t>
      </w:r>
    </w:p>
    <w:p w14:paraId="3A7591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（3）合同约定由承包人承担责任的其他暂停工作。</w:t>
      </w:r>
    </w:p>
    <w:p w14:paraId="7DC5B3C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12.2 由承包人暂停工作</w:t>
      </w:r>
    </w:p>
    <w:p w14:paraId="4E06A4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67" w:name="_Toc300835128"/>
      <w:r>
        <w:rPr>
          <w:rFonts w:hint="eastAsia" w:ascii="宋体" w:hAnsi="宋体" w:eastAsia="宋体" w:cs="宋体"/>
          <w:color w:val="000000"/>
          <w:sz w:val="24"/>
          <w:szCs w:val="24"/>
        </w:rPr>
        <w:t>12.2.1 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bookmarkEnd w:id="367"/>
    </w:p>
    <w:p w14:paraId="3CDD26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（1）发包人未能按合同约定支付价款，或拖延、拒绝批准付款申请和支付证书，导致付款延误的；</w:t>
      </w:r>
    </w:p>
    <w:p w14:paraId="63373B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（2）监理人无正当理由没有在约定期限内发出复工指示，导致承包人无法复工的；</w:t>
      </w:r>
    </w:p>
    <w:p w14:paraId="3E319A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（3）发包人无法继续履行或明确表示不履行或实质上已停止履行合同的；</w:t>
      </w:r>
    </w:p>
    <w:p w14:paraId="3CCC99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（4）发包人不履行合同约定的其他义务的。</w:t>
      </w:r>
    </w:p>
    <w:p w14:paraId="6494B3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12.2.2 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14E9912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12.3 暂停工作后的照管</w:t>
      </w:r>
    </w:p>
    <w:p w14:paraId="37BCC5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不论由于何种原因引起暂停工作的，暂停工作期间，承包人应负责妥善保护工程并提供安全保障，由此增加的费用由责任方承担。</w:t>
      </w:r>
    </w:p>
    <w:p w14:paraId="401E0B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68" w:name="_Toc300835129"/>
      <w:r>
        <w:rPr>
          <w:rFonts w:hint="eastAsia" w:ascii="黑体" w:hAnsi="宋体" w:eastAsia="黑体" w:cs="黑体"/>
          <w:color w:val="000000"/>
          <w:sz w:val="24"/>
          <w:szCs w:val="24"/>
        </w:rPr>
        <w:t xml:space="preserve">12.4 </w:t>
      </w:r>
      <w:bookmarkEnd w:id="368"/>
      <w:r>
        <w:rPr>
          <w:rFonts w:hint="eastAsia" w:ascii="黑体" w:hAnsi="宋体" w:eastAsia="黑体" w:cs="黑体"/>
          <w:color w:val="000000"/>
          <w:sz w:val="24"/>
          <w:szCs w:val="24"/>
        </w:rPr>
        <w:t>暂停工作后的复工</w:t>
      </w:r>
    </w:p>
    <w:p w14:paraId="0F2362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69" w:name="_Toc300835130"/>
      <w:r>
        <w:rPr>
          <w:rFonts w:hint="eastAsia" w:ascii="宋体" w:hAnsi="宋体" w:eastAsia="宋体" w:cs="宋体"/>
          <w:color w:val="000000"/>
          <w:sz w:val="24"/>
          <w:szCs w:val="24"/>
        </w:rPr>
        <w:t>12.4.1暂停工作后，监理人应与发包人和承包人协商，采取有效措施积极消除暂停工作的影响。当工程具备复工条件时，监理人应立即向承包人发出复工通知。承包人收到复工通知后，应在监理人指定的期限内复工。</w:t>
      </w:r>
      <w:bookmarkEnd w:id="369"/>
    </w:p>
    <w:p w14:paraId="749C9B0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12.4.2承包人无故拖延和拒绝复工的，由此增加的费用和工期延误由承包人承担；因发包人原因无法按时复工的，承包人有权要求发包人延长工期和（或）增加费用。</w:t>
      </w:r>
    </w:p>
    <w:p w14:paraId="30AC14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黑体" w:hAnsi="宋体" w:eastAsia="黑体" w:cs="黑体"/>
          <w:color w:val="000000"/>
          <w:sz w:val="24"/>
          <w:szCs w:val="24"/>
        </w:rPr>
        <w:t>12.5 暂停工作56天以上</w:t>
      </w:r>
    </w:p>
    <w:p w14:paraId="7B1881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12.5.1监理人发出暂停工作指示后56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14:paraId="137197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12.5.2由于承包人原因引起暂停工作的，如承包人在收到监理人暂停工作指示后56 天内不采取有效的复工措施，造成工期延误的，视为承包人违约，应按第12.1.2 项的约定执行。</w:t>
      </w:r>
    </w:p>
    <w:p w14:paraId="31307F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370" w:name="_Toc296346584"/>
      <w:bookmarkStart w:id="371" w:name="_Toc296503083"/>
      <w:bookmarkStart w:id="372" w:name="_Toc337558782"/>
      <w:bookmarkStart w:id="373" w:name="_Toc27931"/>
      <w:bookmarkStart w:id="374" w:name="_Toc79760320"/>
      <w:bookmarkStart w:id="375" w:name="_Toc16945"/>
      <w:bookmarkStart w:id="376" w:name="_Toc351203562"/>
      <w:bookmarkStart w:id="377" w:name="_Toc523252245"/>
      <w:bookmarkStart w:id="378" w:name="_Toc522694302"/>
      <w:r>
        <w:rPr>
          <w:rFonts w:hint="eastAsia" w:ascii="黑体" w:hAnsi="宋体" w:eastAsia="黑体" w:cs="黑体"/>
          <w:color w:val="000000"/>
          <w:sz w:val="28"/>
          <w:szCs w:val="28"/>
        </w:rPr>
        <w:t xml:space="preserve">13. </w:t>
      </w:r>
      <w:bookmarkEnd w:id="370"/>
      <w:bookmarkEnd w:id="371"/>
      <w:bookmarkEnd w:id="372"/>
      <w:r>
        <w:rPr>
          <w:rFonts w:hint="eastAsia" w:ascii="黑体" w:hAnsi="宋体" w:eastAsia="黑体" w:cs="黑体"/>
          <w:color w:val="000000"/>
          <w:sz w:val="28"/>
          <w:szCs w:val="28"/>
        </w:rPr>
        <w:t>工程质量</w:t>
      </w:r>
      <w:bookmarkEnd w:id="373"/>
      <w:bookmarkEnd w:id="374"/>
      <w:bookmarkEnd w:id="375"/>
      <w:bookmarkEnd w:id="376"/>
      <w:bookmarkEnd w:id="377"/>
      <w:bookmarkEnd w:id="378"/>
    </w:p>
    <w:p w14:paraId="513095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79" w:name="_Toc522694307"/>
      <w:bookmarkStart w:id="380" w:name="_Toc523252250"/>
      <w:bookmarkStart w:id="381" w:name="_Toc351203567"/>
      <w:bookmarkStart w:id="382" w:name="_Toc300835138"/>
      <w:bookmarkStart w:id="383" w:name="_Toc247527736"/>
      <w:bookmarkStart w:id="384" w:name="_Toc247514135"/>
      <w:r>
        <w:rPr>
          <w:rFonts w:hint="eastAsia" w:ascii="黑体" w:hAnsi="宋体" w:eastAsia="黑体" w:cs="黑体"/>
          <w:color w:val="000000"/>
          <w:sz w:val="24"/>
          <w:szCs w:val="24"/>
        </w:rPr>
        <w:t>13.1 工程质量要求</w:t>
      </w:r>
      <w:bookmarkEnd w:id="379"/>
      <w:bookmarkEnd w:id="380"/>
      <w:bookmarkEnd w:id="381"/>
      <w:bookmarkEnd w:id="382"/>
      <w:bookmarkEnd w:id="383"/>
      <w:bookmarkEnd w:id="384"/>
    </w:p>
    <w:p w14:paraId="1B7C2F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85" w:name="_Toc247527737"/>
      <w:bookmarkStart w:id="386" w:name="_Toc300835139"/>
      <w:bookmarkStart w:id="387" w:name="_Toc247514136"/>
      <w:r>
        <w:rPr>
          <w:rFonts w:hint="eastAsia" w:ascii="宋体" w:hAnsi="宋体" w:eastAsia="宋体" w:cs="宋体"/>
          <w:color w:val="000000"/>
          <w:sz w:val="24"/>
          <w:szCs w:val="24"/>
        </w:rPr>
        <w:t>13.1.1 工程质量验收按法律规定和合同约定的验收标准执行。</w:t>
      </w:r>
      <w:bookmarkEnd w:id="385"/>
      <w:bookmarkEnd w:id="386"/>
      <w:bookmarkEnd w:id="387"/>
    </w:p>
    <w:p w14:paraId="49C3C4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13.1.2 因承包人原因造成工程质量不符合法律的规定和合同约定的，监理人有权要求承包人返工直至符合合同要求为止，由此造成的费用增加和（或）工期延误由承包人承担。</w:t>
      </w:r>
    </w:p>
    <w:p w14:paraId="158D30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13.1.3 因发包人原因造成工程质量达不到合同约定验收标准的，发包人应承担由于承包人返工造成的费用增加和（或）工期延误，并支付承包人合理利润。</w:t>
      </w:r>
    </w:p>
    <w:p w14:paraId="6BB5AD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13.2 承包人的质量检查</w:t>
      </w:r>
    </w:p>
    <w:p w14:paraId="3AB84DD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88" w:name="_Toc247527738"/>
      <w:bookmarkStart w:id="389" w:name="_Toc300835140"/>
      <w:bookmarkStart w:id="390" w:name="_Toc247514137"/>
      <w:r>
        <w:rPr>
          <w:rFonts w:hint="eastAsia" w:ascii="宋体" w:hAnsi="宋体" w:eastAsia="宋体" w:cs="宋体"/>
          <w:color w:val="000000"/>
          <w:sz w:val="24"/>
          <w:szCs w:val="24"/>
        </w:rPr>
        <w:t>承包人应按合同约定对设计、材料、工程设备以及全部工程内容及其施工工艺进行全过程的质量检查和检验，并作详细记录，编制工程质量报表，报送监理人审查。</w:t>
      </w:r>
      <w:bookmarkEnd w:id="388"/>
      <w:bookmarkEnd w:id="389"/>
      <w:bookmarkEnd w:id="390"/>
    </w:p>
    <w:p w14:paraId="5112AC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13.3 监理人的质量检查</w:t>
      </w:r>
    </w:p>
    <w:p w14:paraId="6B5E73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监理人有权对全部工程内容及其施工工艺、材料和工程设备进行检查和检验。承包人应为监理人的检查和检验提供方便，包括监理人到施工场地，或制造、加工地点，或合同约定的其他地方进行查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A43ED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13.4 工程隐蔽部位覆盖前的检查</w:t>
      </w:r>
    </w:p>
    <w:p w14:paraId="28E3C5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13.4.1 通知监理人检查</w:t>
      </w:r>
    </w:p>
    <w:p w14:paraId="7FA99D7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241A7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13.4.2 监理人未到场检查</w:t>
      </w:r>
    </w:p>
    <w:p w14:paraId="45BCA6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监理人未按第13.4.l 项约定的时间进行检查的，除监理人另有指示外，承包人可自行完成覆盖工作，并作相应记录报送监理人，监理人应签字确认。监理人事后对检查记录有疑问的，可按第13.4.3 项的约定重新检查。</w:t>
      </w:r>
    </w:p>
    <w:p w14:paraId="185888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13.4.3 监理人重新检查</w:t>
      </w:r>
    </w:p>
    <w:p w14:paraId="795C7A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承包人按第13.4.1 项或第13.4.2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w:t>
      </w:r>
      <w:bookmarkStart w:id="391" w:name="OLE_LINK6"/>
      <w:bookmarkStart w:id="392" w:name="OLE_LINK5"/>
      <w:r>
        <w:rPr>
          <w:rFonts w:hint="eastAsia" w:ascii="宋体" w:hAnsi="宋体" w:eastAsia="宋体" w:cs="宋体"/>
          <w:color w:val="000000"/>
          <w:sz w:val="24"/>
          <w:szCs w:val="24"/>
        </w:rPr>
        <w:t>承包人应承担由此增加的费用和（或）工期延误，并按第11.5条约定承担工期延误违约责任</w:t>
      </w:r>
      <w:bookmarkEnd w:id="391"/>
      <w:bookmarkEnd w:id="392"/>
      <w:r>
        <w:rPr>
          <w:rFonts w:hint="eastAsia" w:ascii="宋体" w:hAnsi="宋体" w:eastAsia="宋体" w:cs="宋体"/>
          <w:color w:val="000000"/>
          <w:sz w:val="24"/>
          <w:szCs w:val="24"/>
        </w:rPr>
        <w:t>。</w:t>
      </w:r>
    </w:p>
    <w:p w14:paraId="439177A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13.4.4 承包人私自覆盖</w:t>
      </w:r>
    </w:p>
    <w:p w14:paraId="4F6C5E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承包人未通知监理人到场检查，私自将工程隐蔽部位覆盖的，监理人有权指示承包人钻孔探测或揭开检查，承包人应承担由此增加的费用和（或）工期延误，并按第11.5条约定承担工期延误违约责任。</w:t>
      </w:r>
    </w:p>
    <w:p w14:paraId="748F4A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13.5清除不合格工程</w:t>
      </w:r>
    </w:p>
    <w:p w14:paraId="6866EB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13.5.1 因承包人设计失误，使用不合格材料、工程设备，或采用不适当的施工工艺，或施工不当，造成工程不合格的，监理人可以随时发出指示，要求承包人立即采取措施进行补救，直至达到合同要求的质量标准，承包人应承担由此增加的费用和（或）工期延误，并按第11.5条约定承担工期延误违约责任。</w:t>
      </w:r>
    </w:p>
    <w:p w14:paraId="2620950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13.5.2 由于发包人提供的材料或工程设备不合格造成的工程不合格，需要承包人采取措施补救的，发包人应承担由此增加的费用和（或）工期延误。</w:t>
      </w:r>
    </w:p>
    <w:p w14:paraId="56C5C8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393" w:name="_Toc9803"/>
      <w:bookmarkStart w:id="394" w:name="_Toc25206"/>
      <w:bookmarkStart w:id="395" w:name="_Toc79760321"/>
      <w:r>
        <w:rPr>
          <w:rFonts w:hint="eastAsia" w:ascii="黑体" w:hAnsi="宋体" w:eastAsia="黑体" w:cs="黑体"/>
          <w:color w:val="000000"/>
          <w:sz w:val="28"/>
          <w:szCs w:val="28"/>
        </w:rPr>
        <w:t>1</w:t>
      </w:r>
      <w:bookmarkStart w:id="396" w:name="_Toc337558787"/>
      <w:r>
        <w:rPr>
          <w:rFonts w:hint="eastAsia" w:ascii="黑体" w:hAnsi="宋体" w:eastAsia="黑体" w:cs="黑体"/>
          <w:color w:val="000000"/>
          <w:sz w:val="28"/>
          <w:szCs w:val="28"/>
        </w:rPr>
        <w:t>4. 试验和检验</w:t>
      </w:r>
      <w:bookmarkEnd w:id="393"/>
      <w:bookmarkEnd w:id="394"/>
      <w:bookmarkEnd w:id="395"/>
      <w:bookmarkEnd w:id="396"/>
    </w:p>
    <w:p w14:paraId="09DE85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397" w:name="_Toc523252260"/>
      <w:bookmarkStart w:id="398" w:name="_Toc351203577"/>
      <w:bookmarkStart w:id="399" w:name="_Toc522694317"/>
      <w:bookmarkStart w:id="400" w:name="_Toc300835142"/>
      <w:r>
        <w:rPr>
          <w:rFonts w:hint="eastAsia" w:ascii="黑体" w:hAnsi="宋体" w:eastAsia="黑体" w:cs="黑体"/>
          <w:color w:val="000000"/>
          <w:sz w:val="24"/>
          <w:szCs w:val="24"/>
        </w:rPr>
        <w:t>14.1 材料、工程设备和工程的试验和检验</w:t>
      </w:r>
      <w:bookmarkEnd w:id="397"/>
      <w:bookmarkEnd w:id="398"/>
      <w:bookmarkEnd w:id="399"/>
      <w:bookmarkEnd w:id="400"/>
    </w:p>
    <w:p w14:paraId="4090704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14.1.1 本款适用于竣工试验之前的试验和检验。</w:t>
      </w:r>
    </w:p>
    <w:p w14:paraId="2DD063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14.1.2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9FC22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14.1.3 监理人未按合同约定派员参加试验和检验的，除监理人另有指示外，承包人可自行试验和检验，并应立即将试验和检验结果报送监理人，监理人应签字确认。</w:t>
      </w:r>
    </w:p>
    <w:p w14:paraId="075716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14.1.4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1CE2D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401" w:name="_Toc247527741"/>
      <w:bookmarkStart w:id="402" w:name="_Toc300835143"/>
      <w:bookmarkStart w:id="403" w:name="_Toc247514140"/>
      <w:r>
        <w:rPr>
          <w:rFonts w:hint="eastAsia" w:ascii="黑体" w:hAnsi="宋体" w:eastAsia="黑体" w:cs="黑体"/>
          <w:color w:val="000000"/>
          <w:sz w:val="24"/>
          <w:szCs w:val="24"/>
        </w:rPr>
        <w:t xml:space="preserve">14.2 </w:t>
      </w:r>
      <w:bookmarkEnd w:id="401"/>
      <w:bookmarkEnd w:id="402"/>
      <w:bookmarkEnd w:id="403"/>
      <w:r>
        <w:rPr>
          <w:rFonts w:hint="eastAsia" w:ascii="黑体" w:hAnsi="宋体" w:eastAsia="黑体" w:cs="黑体"/>
          <w:color w:val="000000"/>
          <w:sz w:val="24"/>
          <w:szCs w:val="24"/>
        </w:rPr>
        <w:t>现场材料试验</w:t>
      </w:r>
    </w:p>
    <w:p w14:paraId="019CE3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404" w:name="_Toc247527742"/>
      <w:bookmarkStart w:id="405" w:name="_Toc300835144"/>
      <w:bookmarkStart w:id="406" w:name="_Toc247514141"/>
      <w:r>
        <w:rPr>
          <w:rFonts w:hint="eastAsia" w:ascii="宋体" w:hAnsi="宋体" w:eastAsia="宋体" w:cs="宋体"/>
          <w:color w:val="000000"/>
          <w:sz w:val="24"/>
          <w:szCs w:val="24"/>
        </w:rPr>
        <w:t>14.2.1 承包人根据合同约定或监理人指示进行的现场材料试验，应由承包人提供试验场所、试验人员、试验设备器材以及其他必要的试验条件。</w:t>
      </w:r>
      <w:bookmarkEnd w:id="404"/>
      <w:bookmarkEnd w:id="405"/>
      <w:bookmarkEnd w:id="406"/>
    </w:p>
    <w:p w14:paraId="34B7BF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14.2.2 监理人在必要时可以使用承包人的试验场所、试验设备器材以及其他试验条件，进行以工程质量检查为目的的复合性材料试验，承包人应予以协助。</w:t>
      </w:r>
    </w:p>
    <w:p w14:paraId="1EA37E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14.3 现场工艺试验</w:t>
      </w:r>
    </w:p>
    <w:p w14:paraId="0A2E33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承包人应按合同约定或监理人指示进行现场工艺试验。对大型的现场工艺试验，监理人认为必要时，应由承包人根据监理人提出的工艺试验要求，编制工艺试验措施计划，报送监理人批准。</w:t>
      </w:r>
    </w:p>
    <w:p w14:paraId="3B0313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407" w:name="_Toc296346597"/>
      <w:bookmarkStart w:id="408" w:name="_Toc296503096"/>
      <w:bookmarkStart w:id="409" w:name="OLE_LINK3"/>
      <w:bookmarkStart w:id="410" w:name="_Toc337558799"/>
      <w:bookmarkStart w:id="411" w:name="_Toc522694319"/>
      <w:bookmarkStart w:id="412" w:name="_Toc17205"/>
      <w:bookmarkStart w:id="413" w:name="_Toc79760322"/>
      <w:bookmarkStart w:id="414" w:name="_Toc20589"/>
      <w:bookmarkStart w:id="415" w:name="_Toc523252262"/>
      <w:bookmarkStart w:id="416" w:name="_Toc351203580"/>
      <w:r>
        <w:rPr>
          <w:rFonts w:hint="eastAsia" w:ascii="黑体" w:hAnsi="宋体" w:eastAsia="黑体" w:cs="黑体"/>
          <w:color w:val="000000"/>
          <w:sz w:val="28"/>
          <w:szCs w:val="28"/>
        </w:rPr>
        <w:t>15. 变更</w:t>
      </w:r>
      <w:bookmarkEnd w:id="407"/>
      <w:bookmarkEnd w:id="408"/>
      <w:bookmarkEnd w:id="409"/>
      <w:bookmarkEnd w:id="410"/>
      <w:bookmarkEnd w:id="411"/>
      <w:bookmarkEnd w:id="412"/>
      <w:bookmarkEnd w:id="413"/>
      <w:bookmarkEnd w:id="414"/>
      <w:bookmarkEnd w:id="415"/>
      <w:bookmarkEnd w:id="416"/>
    </w:p>
    <w:p w14:paraId="051784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17" w:name="_Toc247514147"/>
      <w:bookmarkStart w:id="418" w:name="_Toc300835151"/>
      <w:bookmarkStart w:id="419" w:name="_Toc247527748"/>
      <w:r>
        <w:rPr>
          <w:rFonts w:hint="eastAsia" w:ascii="黑体" w:hAnsi="宋体" w:eastAsia="黑体" w:cs="黑体"/>
          <w:color w:val="000000"/>
          <w:sz w:val="24"/>
          <w:szCs w:val="24"/>
        </w:rPr>
        <w:t xml:space="preserve">15.1 </w:t>
      </w:r>
      <w:bookmarkEnd w:id="417"/>
      <w:bookmarkEnd w:id="418"/>
      <w:bookmarkEnd w:id="419"/>
      <w:r>
        <w:rPr>
          <w:rFonts w:hint="eastAsia" w:ascii="黑体" w:hAnsi="宋体" w:eastAsia="黑体" w:cs="黑体"/>
          <w:color w:val="000000"/>
          <w:sz w:val="24"/>
          <w:szCs w:val="24"/>
        </w:rPr>
        <w:t>变更权</w:t>
      </w:r>
    </w:p>
    <w:p w14:paraId="2C4476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在履行合同过程中，经发包人同意，监理人可按第15.3 款约定的变更程序向承包人作出有关发包人要求改变的变更指示，承包人应遵照执行。变更应在相应内容实施前提出，否则发包人应承担承包人损失。没有监理人的变更指示，承包人不得擅自变更。</w:t>
      </w:r>
    </w:p>
    <w:p w14:paraId="4B7AF3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420" w:name="_Toc247527749"/>
      <w:bookmarkStart w:id="421" w:name="_Toc247514148"/>
      <w:bookmarkStart w:id="422" w:name="_Toc300835152"/>
      <w:r>
        <w:rPr>
          <w:rFonts w:hint="eastAsia" w:ascii="黑体" w:hAnsi="宋体" w:eastAsia="黑体" w:cs="黑体"/>
          <w:color w:val="000000"/>
          <w:sz w:val="24"/>
          <w:szCs w:val="24"/>
        </w:rPr>
        <w:t>15.2 承包人的合理化建议</w:t>
      </w:r>
      <w:bookmarkEnd w:id="420"/>
      <w:bookmarkEnd w:id="421"/>
      <w:bookmarkEnd w:id="422"/>
    </w:p>
    <w:p w14:paraId="6DBD62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15.2.1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款约定向承包人发出变更指示。</w:t>
      </w:r>
    </w:p>
    <w:p w14:paraId="51F57B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15.2.2 承包人提出的合理化建议降低了合同价格、缩短了工期或者提高了工程经济效益的，发包人可按国家有关规定在专用合同条款中约定给予奖励。</w:t>
      </w:r>
    </w:p>
    <w:p w14:paraId="7C10C2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423" w:name="_Toc247514149"/>
      <w:bookmarkStart w:id="424" w:name="_Toc247527750"/>
      <w:bookmarkStart w:id="425" w:name="_Toc300835153"/>
      <w:r>
        <w:rPr>
          <w:rFonts w:hint="eastAsia" w:ascii="黑体" w:hAnsi="宋体" w:eastAsia="黑体" w:cs="黑体"/>
          <w:color w:val="000000"/>
          <w:sz w:val="24"/>
          <w:szCs w:val="24"/>
        </w:rPr>
        <w:t>15.3 变更程序</w:t>
      </w:r>
      <w:bookmarkEnd w:id="423"/>
      <w:bookmarkEnd w:id="424"/>
      <w:bookmarkEnd w:id="425"/>
    </w:p>
    <w:p w14:paraId="1A6EDB1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426" w:name="_Toc296503106"/>
      <w:bookmarkStart w:id="427" w:name="_Toc337558804"/>
      <w:bookmarkStart w:id="428" w:name="_Toc322522574"/>
      <w:bookmarkStart w:id="429" w:name="_Toc296346607"/>
      <w:bookmarkStart w:id="430" w:name="_Toc522694325"/>
      <w:bookmarkStart w:id="431" w:name="_Toc523252268"/>
      <w:bookmarkStart w:id="432" w:name="_Toc351203586"/>
      <w:bookmarkStart w:id="433" w:name="_Toc300835155"/>
      <w:bookmarkStart w:id="434" w:name="_Toc247514151"/>
      <w:bookmarkStart w:id="435" w:name="_Toc247527752"/>
      <w:r>
        <w:rPr>
          <w:rFonts w:hint="eastAsia" w:ascii="宋体" w:hAnsi="宋体" w:eastAsia="宋体" w:cs="宋体"/>
          <w:color w:val="000000"/>
          <w:sz w:val="24"/>
          <w:szCs w:val="24"/>
        </w:rPr>
        <w:t>15.3.1 变更的提出</w:t>
      </w:r>
      <w:bookmarkEnd w:id="426"/>
      <w:bookmarkEnd w:id="427"/>
      <w:bookmarkEnd w:id="428"/>
      <w:bookmarkEnd w:id="429"/>
      <w:bookmarkEnd w:id="430"/>
      <w:bookmarkEnd w:id="431"/>
      <w:bookmarkEnd w:id="432"/>
      <w:bookmarkEnd w:id="433"/>
      <w:bookmarkEnd w:id="434"/>
      <w:bookmarkEnd w:id="435"/>
    </w:p>
    <w:p w14:paraId="3F1AF2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4C0F58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14:paraId="6EE39F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（3）承包人收到监理人的变更意向书后认为难以实施此项变更的，应立即通知监理人，说明原因并附详细依据。监理人与承包人和发包人协商后确定撤销、改变或不改变原变更意向书。</w:t>
      </w:r>
    </w:p>
    <w:p w14:paraId="77D2FC9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15.3.2 变更估价</w:t>
      </w:r>
    </w:p>
    <w:p w14:paraId="7057E8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监理人应按照第3.5 款商定或确定变更价格。变更价格应包括合理的利润，并应考虑承包人根据第15.2款提出的合理化建议。</w:t>
      </w:r>
    </w:p>
    <w:p w14:paraId="257958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15.3.3 变更指示</w:t>
      </w:r>
    </w:p>
    <w:p w14:paraId="5CB482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（1）变更指示只能由监理人发出。</w:t>
      </w:r>
    </w:p>
    <w:p w14:paraId="6EAB38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（2）变更指示应说明变更的目的、范围、变更内容以及变更的工程量及其进度和技术要求，并附有关图纸和文件。承包人收到变更指示后，应按变更指示进行变更工作。</w:t>
      </w:r>
    </w:p>
    <w:p w14:paraId="774902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436" w:name="_Toc247514150"/>
      <w:bookmarkStart w:id="437" w:name="_Toc300835154"/>
      <w:bookmarkStart w:id="438" w:name="_Toc247527751"/>
      <w:r>
        <w:rPr>
          <w:rFonts w:hint="eastAsia" w:ascii="黑体" w:hAnsi="宋体" w:eastAsia="黑体" w:cs="黑体"/>
          <w:color w:val="000000"/>
          <w:sz w:val="24"/>
          <w:szCs w:val="24"/>
        </w:rPr>
        <w:t>15.4 暂列金额</w:t>
      </w:r>
      <w:bookmarkEnd w:id="436"/>
      <w:bookmarkEnd w:id="437"/>
      <w:bookmarkEnd w:id="438"/>
    </w:p>
    <w:p w14:paraId="5F8EAC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经发包人同意，承包人可使用暂列金额，但应按照第15.6款规定的程序进行，并对合同价格进行相应调整。</w:t>
      </w:r>
    </w:p>
    <w:p w14:paraId="4C27EE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15.5 计日工（A）</w:t>
      </w:r>
    </w:p>
    <w:p w14:paraId="3E7F0D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15.5.1 发包人认为有必要时，由监理人通知承包人以计日工方式实施变更的零星工作。其价款按列入合同中的计日工计价子项目及其单价进行计算。</w:t>
      </w:r>
    </w:p>
    <w:p w14:paraId="4C42A5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15.5.2 采用计日工计价的任何一项变更工作，应从暂列金额中支付，承包人应在该项变更的实施过程中，每天提交以下报表和有关凭证报送监理人批准：</w:t>
      </w:r>
    </w:p>
    <w:p w14:paraId="6208D4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（1）工作名称、内容和数量；</w:t>
      </w:r>
    </w:p>
    <w:p w14:paraId="136DA1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（2）投入该工作所有人员的姓名、专业/工种、级别和耗用工时；</w:t>
      </w:r>
    </w:p>
    <w:p w14:paraId="7DEC2A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（3）投入该工作的材料类别和数量；</w:t>
      </w:r>
    </w:p>
    <w:p w14:paraId="602038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（4）投入该工作的施工设备型号、台数和耗用台时；</w:t>
      </w:r>
    </w:p>
    <w:p w14:paraId="165544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（5）监理人要求提交的其他资料和凭证。</w:t>
      </w:r>
    </w:p>
    <w:p w14:paraId="279E76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15.5.3 计日工由承包人汇总后，按第17.3.3 项的约定列入进度付款申请单，由监理人复核并经发包人同意后列入进度付款。</w:t>
      </w:r>
    </w:p>
    <w:p w14:paraId="0C05A0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bookmarkStart w:id="439" w:name="_Toc79760323"/>
      <w:r>
        <w:rPr>
          <w:rFonts w:hint="eastAsia" w:ascii="黑体" w:hAnsi="宋体" w:eastAsia="黑体" w:cs="黑体"/>
          <w:color w:val="000000"/>
          <w:sz w:val="24"/>
          <w:szCs w:val="24"/>
        </w:rPr>
        <w:t>15.5 计日工（B）</w:t>
      </w:r>
      <w:bookmarkEnd w:id="439"/>
    </w:p>
    <w:p w14:paraId="3AD809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签约合同价包括计日工的，按合同约定进行支付。</w:t>
      </w:r>
    </w:p>
    <w:p w14:paraId="4CC37A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bookmarkStart w:id="440" w:name="_Toc79760324"/>
      <w:r>
        <w:rPr>
          <w:rFonts w:hint="eastAsia" w:ascii="黑体" w:hAnsi="宋体" w:eastAsia="黑体" w:cs="黑体"/>
          <w:color w:val="000000"/>
          <w:sz w:val="24"/>
          <w:szCs w:val="24"/>
        </w:rPr>
        <w:t>15.6 暂估价（A）</w:t>
      </w:r>
      <w:bookmarkEnd w:id="440"/>
    </w:p>
    <w:p w14:paraId="21D6314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15.6.1 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费用列入合同价格。</w:t>
      </w:r>
    </w:p>
    <w:p w14:paraId="7CF97B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15.6.2 发包人在价格清单中给定暂估价的专业服务、材料和工程设备不属于依法必须招标的范围或未达到规定的规模标准的，应由承包人按第6.1 款的约定提供。经监理人确认的专业服务、材料、工程设备的价格与价格清单中所列的暂估价的金额差以及相应的税金等其他费用列入合同价格。</w:t>
      </w:r>
    </w:p>
    <w:p w14:paraId="5A8D44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15.6.3 发包人在价格清单中给定暂估价的专业工程不属于依法必须招标的范围或未达到规定的规模标准的，由监理人按照第15.3.2项进行估价，但专用合同条款另有约定的除外。经估价的专业工程与价格清单中所列的暂估价的金额差以及相应的税金等其他费用列入合同价格。</w:t>
      </w:r>
    </w:p>
    <w:p w14:paraId="62F349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黑体" w:hAnsi="宋体" w:eastAsia="黑体" w:cs="黑体"/>
          <w:color w:val="000000"/>
          <w:sz w:val="24"/>
          <w:szCs w:val="24"/>
        </w:rPr>
        <w:t>15.6 暂估价（B）</w:t>
      </w:r>
    </w:p>
    <w:p w14:paraId="122F09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签约合同价包括暂估价的，按合同约定进行支付。</w:t>
      </w:r>
    </w:p>
    <w:p w14:paraId="18F25B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441" w:name="_Toc79760325"/>
      <w:bookmarkStart w:id="442" w:name="_Toc32181"/>
      <w:bookmarkStart w:id="443" w:name="_Toc13539"/>
      <w:r>
        <w:rPr>
          <w:rFonts w:hint="eastAsia" w:ascii="黑体" w:hAnsi="宋体" w:eastAsia="黑体" w:cs="黑体"/>
          <w:color w:val="0000FF"/>
          <w:sz w:val="28"/>
          <w:szCs w:val="28"/>
        </w:rPr>
        <w:t>16. 价格调整</w:t>
      </w:r>
      <w:bookmarkEnd w:id="441"/>
      <w:bookmarkEnd w:id="442"/>
      <w:bookmarkEnd w:id="443"/>
    </w:p>
    <w:p w14:paraId="2E9F1C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44" w:name="_Toc296346614"/>
      <w:bookmarkStart w:id="445" w:name="_Toc337558815"/>
      <w:bookmarkStart w:id="446" w:name="_Toc296503113"/>
      <w:bookmarkStart w:id="447" w:name="_Toc351203598"/>
      <w:bookmarkStart w:id="448" w:name="_Toc523252280"/>
      <w:bookmarkStart w:id="449" w:name="_Toc522694337"/>
      <w:bookmarkStart w:id="450" w:name="_Toc247527755"/>
      <w:bookmarkStart w:id="451" w:name="_Toc247514154"/>
      <w:bookmarkStart w:id="452" w:name="_Toc300835158"/>
      <w:r>
        <w:rPr>
          <w:rFonts w:hint="eastAsia" w:ascii="宋体" w:hAnsi="宋体" w:eastAsia="宋体" w:cs="宋体"/>
          <w:color w:val="000000"/>
          <w:sz w:val="24"/>
          <w:szCs w:val="24"/>
        </w:rPr>
        <w:t xml:space="preserve">16.1 </w:t>
      </w:r>
      <w:r>
        <w:rPr>
          <w:rFonts w:hint="eastAsia" w:ascii="宋体" w:hAnsi="宋体" w:eastAsia="宋体" w:cs="宋体"/>
          <w:color w:val="0000FF"/>
          <w:sz w:val="24"/>
          <w:szCs w:val="24"/>
        </w:rPr>
        <w:t>物价波动引起的调整（Ａ）</w:t>
      </w:r>
      <w:bookmarkEnd w:id="444"/>
      <w:bookmarkEnd w:id="445"/>
      <w:bookmarkEnd w:id="446"/>
      <w:bookmarkEnd w:id="447"/>
      <w:bookmarkEnd w:id="448"/>
      <w:bookmarkEnd w:id="449"/>
      <w:bookmarkEnd w:id="450"/>
      <w:bookmarkEnd w:id="451"/>
      <w:bookmarkEnd w:id="452"/>
    </w:p>
    <w:p w14:paraId="53E88F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除专用合同条款另有约定外，因物价波动引起的价格调整按照本款约定处理。</w:t>
      </w:r>
    </w:p>
    <w:p w14:paraId="753EE7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16.1.1 采用价格指数调整价格差额（适用于投标函附录约定了价格指数和权重的）</w:t>
      </w:r>
    </w:p>
    <w:p w14:paraId="597432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16.1.1.1价格调整公式</w:t>
      </w:r>
    </w:p>
    <w:p w14:paraId="2E0110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因人工、材料和设备等价格波动影响合同价格时，根据投标函附录中的价格指数和权重表约定的数据，按以下公式计算差额并调整合同价格。</w:t>
      </w:r>
    </w:p>
    <w:p w14:paraId="5BC9BF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2205"/>
        <w:jc w:val="both"/>
      </w:pPr>
      <w:bookmarkStart w:id="453" w:name="_Toc79760326"/>
      <w:r>
        <w:rPr>
          <w:rFonts w:hint="eastAsia" w:ascii="宋体" w:hAnsi="宋体" w:eastAsia="宋体" w:cs="宋体"/>
          <w:color w:val="000000"/>
          <w:sz w:val="21"/>
          <w:szCs w:val="21"/>
        </w:rPr>
        <w:t>F</w:t>
      </w:r>
      <w:r>
        <w:rPr>
          <w:rFonts w:hint="eastAsia" w:ascii="宋体" w:hAnsi="宋体" w:eastAsia="宋体" w:cs="宋体"/>
          <w:color w:val="000000"/>
          <w:sz w:val="28"/>
          <w:szCs w:val="28"/>
          <w:vertAlign w:val="subscript"/>
        </w:rPr>
        <w:t>t1</w:t>
      </w:r>
      <w:r>
        <w:rPr>
          <w:rFonts w:hint="eastAsia" w:ascii="宋体" w:hAnsi="宋体" w:eastAsia="宋体" w:cs="宋体"/>
          <w:color w:val="000000"/>
          <w:sz w:val="21"/>
          <w:szCs w:val="21"/>
        </w:rPr>
        <w:t xml:space="preserve"> F</w:t>
      </w:r>
      <w:r>
        <w:rPr>
          <w:rFonts w:hint="eastAsia" w:ascii="宋体" w:hAnsi="宋体" w:eastAsia="宋体" w:cs="宋体"/>
          <w:color w:val="000000"/>
          <w:sz w:val="28"/>
          <w:szCs w:val="28"/>
          <w:vertAlign w:val="subscript"/>
        </w:rPr>
        <w:t>t2</w:t>
      </w:r>
      <w:r>
        <w:rPr>
          <w:rFonts w:hint="eastAsia" w:ascii="宋体" w:hAnsi="宋体" w:eastAsia="宋体" w:cs="宋体"/>
          <w:color w:val="000000"/>
          <w:sz w:val="21"/>
          <w:szCs w:val="21"/>
        </w:rPr>
        <w:t>F</w:t>
      </w:r>
      <w:r>
        <w:rPr>
          <w:rFonts w:hint="eastAsia" w:ascii="宋体" w:hAnsi="宋体" w:eastAsia="宋体" w:cs="宋体"/>
          <w:color w:val="000000"/>
          <w:sz w:val="28"/>
          <w:szCs w:val="28"/>
          <w:vertAlign w:val="subscript"/>
        </w:rPr>
        <w:t>t3</w:t>
      </w:r>
      <w:r>
        <w:rPr>
          <w:rFonts w:hint="eastAsia" w:ascii="宋体" w:hAnsi="宋体" w:eastAsia="宋体" w:cs="宋体"/>
          <w:color w:val="000000"/>
          <w:sz w:val="21"/>
          <w:szCs w:val="21"/>
        </w:rPr>
        <w:t>F</w:t>
      </w:r>
      <w:r>
        <w:rPr>
          <w:rFonts w:hint="eastAsia" w:ascii="宋体" w:hAnsi="宋体" w:eastAsia="宋体" w:cs="宋体"/>
          <w:color w:val="000000"/>
          <w:sz w:val="28"/>
          <w:szCs w:val="28"/>
          <w:vertAlign w:val="subscript"/>
        </w:rPr>
        <w:t>tn</w:t>
      </w:r>
      <w:bookmarkEnd w:id="453"/>
    </w:p>
    <w:p w14:paraId="7F05A8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80" w:firstLine="105"/>
        <w:jc w:val="both"/>
      </w:pPr>
      <w:r>
        <w:rPr>
          <w:rFonts w:hint="eastAsia" w:ascii="宋体" w:hAnsi="宋体" w:eastAsia="宋体" w:cs="宋体"/>
          <w:color w:val="000000"/>
          <w:sz w:val="21"/>
          <w:szCs w:val="21"/>
        </w:rPr>
        <w:t>△P=P</w:t>
      </w:r>
      <w:r>
        <w:rPr>
          <w:rFonts w:hint="eastAsia" w:ascii="宋体" w:hAnsi="宋体" w:eastAsia="宋体" w:cs="宋体"/>
          <w:color w:val="000000"/>
          <w:sz w:val="21"/>
          <w:szCs w:val="21"/>
          <w:vertAlign w:val="subscript"/>
        </w:rPr>
        <w:t>O</w:t>
      </w:r>
      <w:r>
        <w:rPr>
          <w:rFonts w:hint="eastAsia" w:ascii="宋体" w:hAnsi="宋体" w:eastAsia="宋体" w:cs="宋体"/>
          <w:color w:val="000000"/>
          <w:sz w:val="21"/>
          <w:szCs w:val="21"/>
        </w:rPr>
        <w:t>［A+｛B</w:t>
      </w:r>
      <w:r>
        <w:rPr>
          <w:rFonts w:hint="eastAsia" w:ascii="宋体" w:hAnsi="宋体" w:eastAsia="宋体" w:cs="宋体"/>
          <w:color w:val="000000"/>
          <w:sz w:val="21"/>
          <w:szCs w:val="21"/>
          <w:vertAlign w:val="subscript"/>
        </w:rPr>
        <w:t>1</w:t>
      </w:r>
      <w:r>
        <w:rPr>
          <w:rFonts w:hint="eastAsia" w:ascii="宋体" w:hAnsi="宋体" w:eastAsia="宋体" w:cs="宋体"/>
          <w:color w:val="000000"/>
          <w:sz w:val="21"/>
          <w:szCs w:val="21"/>
        </w:rPr>
        <w:t>×—＋B</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×—＋B</w:t>
      </w:r>
      <w:r>
        <w:rPr>
          <w:rFonts w:hint="eastAsia" w:ascii="宋体" w:hAnsi="宋体" w:eastAsia="宋体" w:cs="宋体"/>
          <w:color w:val="000000"/>
          <w:sz w:val="21"/>
          <w:szCs w:val="21"/>
          <w:vertAlign w:val="subscript"/>
        </w:rPr>
        <w:t>3</w:t>
      </w:r>
      <w:r>
        <w:rPr>
          <w:rFonts w:hint="eastAsia" w:ascii="宋体" w:hAnsi="宋体" w:eastAsia="宋体" w:cs="宋体"/>
          <w:color w:val="000000"/>
          <w:sz w:val="21"/>
          <w:szCs w:val="21"/>
        </w:rPr>
        <w:t>×—＋…＋B</w:t>
      </w:r>
      <w:r>
        <w:rPr>
          <w:rFonts w:hint="eastAsia" w:ascii="宋体" w:hAnsi="宋体" w:eastAsia="宋体" w:cs="宋体"/>
          <w:color w:val="000000"/>
          <w:sz w:val="21"/>
          <w:szCs w:val="21"/>
          <w:vertAlign w:val="subscript"/>
        </w:rPr>
        <w:t>n</w:t>
      </w:r>
      <w:r>
        <w:rPr>
          <w:rFonts w:hint="eastAsia" w:ascii="宋体" w:hAnsi="宋体" w:eastAsia="宋体" w:cs="宋体"/>
          <w:color w:val="000000"/>
          <w:sz w:val="21"/>
          <w:szCs w:val="21"/>
        </w:rPr>
        <w:t>×—｝－1］</w:t>
      </w:r>
    </w:p>
    <w:p w14:paraId="7D29F26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80" w:firstLine="1785"/>
        <w:jc w:val="both"/>
      </w:pPr>
      <w:r>
        <w:rPr>
          <w:rFonts w:hint="eastAsia" w:ascii="宋体" w:hAnsi="宋体" w:eastAsia="宋体" w:cs="宋体"/>
          <w:color w:val="000000"/>
          <w:sz w:val="21"/>
          <w:szCs w:val="21"/>
        </w:rPr>
        <w:t>F</w:t>
      </w:r>
      <w:r>
        <w:rPr>
          <w:rFonts w:hint="eastAsia" w:ascii="宋体" w:hAnsi="宋体" w:eastAsia="宋体" w:cs="宋体"/>
          <w:color w:val="000000"/>
          <w:sz w:val="28"/>
          <w:szCs w:val="28"/>
          <w:vertAlign w:val="subscript"/>
        </w:rPr>
        <w:t xml:space="preserve">01        </w:t>
      </w:r>
      <w:r>
        <w:rPr>
          <w:rFonts w:hint="eastAsia" w:ascii="宋体" w:hAnsi="宋体" w:eastAsia="宋体" w:cs="宋体"/>
          <w:color w:val="000000"/>
          <w:sz w:val="21"/>
          <w:szCs w:val="21"/>
        </w:rPr>
        <w:t>F</w:t>
      </w:r>
      <w:r>
        <w:rPr>
          <w:rFonts w:hint="eastAsia" w:ascii="宋体" w:hAnsi="宋体" w:eastAsia="宋体" w:cs="宋体"/>
          <w:color w:val="000000"/>
          <w:sz w:val="28"/>
          <w:szCs w:val="28"/>
          <w:vertAlign w:val="subscript"/>
        </w:rPr>
        <w:t xml:space="preserve">02       </w:t>
      </w:r>
      <w:r>
        <w:rPr>
          <w:rFonts w:hint="eastAsia" w:ascii="宋体" w:hAnsi="宋体" w:eastAsia="宋体" w:cs="宋体"/>
          <w:color w:val="000000"/>
          <w:sz w:val="21"/>
          <w:szCs w:val="21"/>
        </w:rPr>
        <w:t>F</w:t>
      </w:r>
      <w:r>
        <w:rPr>
          <w:rFonts w:hint="eastAsia" w:ascii="宋体" w:hAnsi="宋体" w:eastAsia="宋体" w:cs="宋体"/>
          <w:color w:val="000000"/>
          <w:sz w:val="28"/>
          <w:szCs w:val="28"/>
          <w:vertAlign w:val="subscript"/>
        </w:rPr>
        <w:t xml:space="preserve">03              </w:t>
      </w:r>
      <w:r>
        <w:rPr>
          <w:rFonts w:hint="eastAsia" w:ascii="宋体" w:hAnsi="宋体" w:eastAsia="宋体" w:cs="宋体"/>
          <w:color w:val="000000"/>
          <w:sz w:val="21"/>
          <w:szCs w:val="21"/>
        </w:rPr>
        <w:t>F</w:t>
      </w:r>
      <w:r>
        <w:rPr>
          <w:rFonts w:hint="eastAsia" w:ascii="宋体" w:hAnsi="宋体" w:eastAsia="宋体" w:cs="宋体"/>
          <w:color w:val="000000"/>
          <w:sz w:val="28"/>
          <w:szCs w:val="28"/>
          <w:vertAlign w:val="subscript"/>
        </w:rPr>
        <w:t>04</w:t>
      </w:r>
    </w:p>
    <w:p w14:paraId="52766F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式中：△P---需调整的价格差额；</w:t>
      </w:r>
    </w:p>
    <w:p w14:paraId="4C87B5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P</w:t>
      </w:r>
      <w:r>
        <w:rPr>
          <w:rFonts w:hint="eastAsia" w:ascii="宋体" w:hAnsi="宋体" w:eastAsia="宋体" w:cs="宋体"/>
          <w:color w:val="000000"/>
          <w:sz w:val="24"/>
          <w:szCs w:val="24"/>
          <w:vertAlign w:val="subscript"/>
        </w:rPr>
        <w:t>O</w:t>
      </w:r>
      <w:r>
        <w:rPr>
          <w:rFonts w:hint="eastAsia" w:ascii="宋体" w:hAnsi="宋体" w:eastAsia="宋体" w:cs="宋体"/>
          <w:color w:val="000000"/>
          <w:sz w:val="24"/>
          <w:szCs w:val="24"/>
        </w:rPr>
        <w:t>---第17.3.4 项、第17.5.2 项和第17.6.2 项约定的付款证书中承包人应得到的已完成工作量的金额。此项金额应不包括价格调整、不计质量保证金的扣留和支付、预付款的支付和扣回。第15条约定的变更及其他金额已按当期价格计价的，也不计在内；</w:t>
      </w:r>
    </w:p>
    <w:p w14:paraId="2B36C9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A ---定值权重（即不调部分的权重）； </w:t>
      </w:r>
    </w:p>
    <w:p w14:paraId="32448EC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B</w:t>
      </w:r>
      <w:r>
        <w:rPr>
          <w:rFonts w:hint="eastAsia" w:ascii="宋体" w:hAnsi="宋体" w:eastAsia="宋体" w:cs="宋体"/>
          <w:color w:val="000000"/>
          <w:sz w:val="24"/>
          <w:szCs w:val="24"/>
          <w:vertAlign w:val="subscript"/>
        </w:rPr>
        <w:t>1</w:t>
      </w:r>
      <w:r>
        <w:rPr>
          <w:rFonts w:hint="eastAsia" w:ascii="宋体" w:hAnsi="宋体" w:eastAsia="宋体" w:cs="宋体"/>
          <w:color w:val="000000"/>
          <w:sz w:val="24"/>
          <w:szCs w:val="24"/>
        </w:rPr>
        <w:t>；B</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；B</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；……B</w:t>
      </w:r>
      <w:r>
        <w:rPr>
          <w:rFonts w:hint="eastAsia" w:ascii="宋体" w:hAnsi="宋体" w:eastAsia="宋体" w:cs="宋体"/>
          <w:color w:val="000000"/>
          <w:sz w:val="24"/>
          <w:szCs w:val="24"/>
          <w:vertAlign w:val="subscript"/>
        </w:rPr>
        <w:t>n</w:t>
      </w:r>
      <w:r>
        <w:rPr>
          <w:rFonts w:hint="eastAsia" w:ascii="宋体" w:hAnsi="宋体" w:eastAsia="宋体" w:cs="宋体"/>
          <w:color w:val="000000"/>
          <w:sz w:val="24"/>
          <w:szCs w:val="24"/>
        </w:rPr>
        <w:t>---各可调因子的变值权重（即可调部分的权重）为各可调因子在投标函投标总报价中所占的比例；</w:t>
      </w:r>
    </w:p>
    <w:p w14:paraId="11E9AA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F</w:t>
      </w:r>
      <w:r>
        <w:rPr>
          <w:rFonts w:hint="eastAsia" w:ascii="宋体" w:hAnsi="宋体" w:eastAsia="宋体" w:cs="宋体"/>
          <w:color w:val="000000"/>
          <w:sz w:val="24"/>
          <w:szCs w:val="24"/>
          <w:vertAlign w:val="subscript"/>
        </w:rPr>
        <w:t>t1</w:t>
      </w:r>
      <w:r>
        <w:rPr>
          <w:rFonts w:hint="eastAsia" w:ascii="宋体" w:hAnsi="宋体" w:eastAsia="宋体" w:cs="宋体"/>
          <w:color w:val="000000"/>
          <w:sz w:val="24"/>
          <w:szCs w:val="24"/>
        </w:rPr>
        <w:t>；F</w:t>
      </w:r>
      <w:r>
        <w:rPr>
          <w:rFonts w:hint="eastAsia" w:ascii="宋体" w:hAnsi="宋体" w:eastAsia="宋体" w:cs="宋体"/>
          <w:color w:val="000000"/>
          <w:sz w:val="24"/>
          <w:szCs w:val="24"/>
          <w:vertAlign w:val="subscript"/>
        </w:rPr>
        <w:t>t2</w:t>
      </w:r>
      <w:r>
        <w:rPr>
          <w:rFonts w:hint="eastAsia" w:ascii="宋体" w:hAnsi="宋体" w:eastAsia="宋体" w:cs="宋体"/>
          <w:color w:val="000000"/>
          <w:sz w:val="24"/>
          <w:szCs w:val="24"/>
        </w:rPr>
        <w:t>；F</w:t>
      </w:r>
      <w:r>
        <w:rPr>
          <w:rFonts w:hint="eastAsia" w:ascii="宋体" w:hAnsi="宋体" w:eastAsia="宋体" w:cs="宋体"/>
          <w:color w:val="000000"/>
          <w:sz w:val="24"/>
          <w:szCs w:val="24"/>
          <w:vertAlign w:val="subscript"/>
        </w:rPr>
        <w:t>t3</w:t>
      </w:r>
      <w:r>
        <w:rPr>
          <w:rFonts w:hint="eastAsia" w:ascii="宋体" w:hAnsi="宋体" w:eastAsia="宋体" w:cs="宋体"/>
          <w:color w:val="000000"/>
          <w:sz w:val="24"/>
          <w:szCs w:val="24"/>
        </w:rPr>
        <w:t>；……F</w:t>
      </w:r>
      <w:r>
        <w:rPr>
          <w:rFonts w:hint="eastAsia" w:ascii="宋体" w:hAnsi="宋体" w:eastAsia="宋体" w:cs="宋体"/>
          <w:color w:val="000000"/>
          <w:sz w:val="24"/>
          <w:szCs w:val="24"/>
          <w:vertAlign w:val="subscript"/>
        </w:rPr>
        <w:t>tn</w:t>
      </w:r>
      <w:r>
        <w:rPr>
          <w:rFonts w:hint="eastAsia" w:ascii="宋体" w:hAnsi="宋体" w:eastAsia="宋体" w:cs="宋体"/>
          <w:color w:val="000000"/>
          <w:sz w:val="24"/>
          <w:szCs w:val="24"/>
        </w:rPr>
        <w:t>---各可调因子的当期价格指数，指第17.3.3 项、第17.5.2 项和第17.6.2 项约定的付款证书相关周期最后一天的前42天的各可调因子的价格指数；</w:t>
      </w:r>
    </w:p>
    <w:p w14:paraId="5AA9DF8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F</w:t>
      </w:r>
      <w:r>
        <w:rPr>
          <w:rFonts w:hint="eastAsia" w:ascii="宋体" w:hAnsi="宋体" w:eastAsia="宋体" w:cs="宋体"/>
          <w:color w:val="000000"/>
          <w:sz w:val="24"/>
          <w:szCs w:val="24"/>
          <w:vertAlign w:val="subscript"/>
        </w:rPr>
        <w:t>01</w:t>
      </w:r>
      <w:r>
        <w:rPr>
          <w:rFonts w:hint="eastAsia" w:ascii="宋体" w:hAnsi="宋体" w:eastAsia="宋体" w:cs="宋体"/>
          <w:color w:val="000000"/>
          <w:sz w:val="24"/>
          <w:szCs w:val="24"/>
        </w:rPr>
        <w:t>；F</w:t>
      </w:r>
      <w:r>
        <w:rPr>
          <w:rFonts w:hint="eastAsia" w:ascii="宋体" w:hAnsi="宋体" w:eastAsia="宋体" w:cs="宋体"/>
          <w:color w:val="000000"/>
          <w:sz w:val="24"/>
          <w:szCs w:val="24"/>
          <w:vertAlign w:val="subscript"/>
        </w:rPr>
        <w:t>02</w:t>
      </w:r>
      <w:r>
        <w:rPr>
          <w:rFonts w:hint="eastAsia" w:ascii="宋体" w:hAnsi="宋体" w:eastAsia="宋体" w:cs="宋体"/>
          <w:color w:val="000000"/>
          <w:sz w:val="24"/>
          <w:szCs w:val="24"/>
        </w:rPr>
        <w:t>；F</w:t>
      </w:r>
      <w:r>
        <w:rPr>
          <w:rFonts w:hint="eastAsia" w:ascii="宋体" w:hAnsi="宋体" w:eastAsia="宋体" w:cs="宋体"/>
          <w:color w:val="000000"/>
          <w:sz w:val="24"/>
          <w:szCs w:val="24"/>
          <w:vertAlign w:val="subscript"/>
        </w:rPr>
        <w:t>03</w:t>
      </w:r>
      <w:r>
        <w:rPr>
          <w:rFonts w:hint="eastAsia" w:ascii="宋体" w:hAnsi="宋体" w:eastAsia="宋体" w:cs="宋体"/>
          <w:color w:val="000000"/>
          <w:sz w:val="24"/>
          <w:szCs w:val="24"/>
        </w:rPr>
        <w:t>；……F</w:t>
      </w:r>
      <w:r>
        <w:rPr>
          <w:rFonts w:hint="eastAsia" w:ascii="宋体" w:hAnsi="宋体" w:eastAsia="宋体" w:cs="宋体"/>
          <w:color w:val="000000"/>
          <w:sz w:val="24"/>
          <w:szCs w:val="24"/>
          <w:vertAlign w:val="subscript"/>
        </w:rPr>
        <w:t>0n</w:t>
      </w:r>
      <w:r>
        <w:rPr>
          <w:rFonts w:hint="eastAsia" w:ascii="宋体" w:hAnsi="宋体" w:eastAsia="宋体" w:cs="宋体"/>
          <w:color w:val="000000"/>
          <w:sz w:val="24"/>
          <w:szCs w:val="24"/>
        </w:rPr>
        <w:t>---各可调因子的基本价格指数，指基准日期的各可调因子的价格指数。</w:t>
      </w:r>
    </w:p>
    <w:p w14:paraId="2BF4EA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298A7D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16.1.1.2 承暂时确定调整差额</w:t>
      </w:r>
    </w:p>
    <w:p w14:paraId="47DD7B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在计算调整差额时得不到当期价格指数的，可暂用上一次价格指数计算，并在以后的付款中再按实际价格指数进行调整。</w:t>
      </w:r>
    </w:p>
    <w:p w14:paraId="1F3C19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16.1.1.3 权重的调整</w:t>
      </w:r>
    </w:p>
    <w:p w14:paraId="544007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按第15.1 款约定的变更导致原定合同中的权重不合理的，由监理人与承包人和发包人协商后进行调整。</w:t>
      </w:r>
    </w:p>
    <w:p w14:paraId="2AD42A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16.1.1.4 承包人引起的工期延误后的价格调整</w:t>
      </w:r>
    </w:p>
    <w:p w14:paraId="646392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由于承包人原因未在约定的工期内竣工的，则对原约定竣工日期后继续施工的工程，在使用第 16.1.1.1目价格调整公式时，应采用原约定竣工日期与实际竣工日期的两个价格指数中较低的一个作为当期价格指数。</w:t>
      </w:r>
    </w:p>
    <w:p w14:paraId="38F3DAE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16.1.1.5发包人引起的工期延误后的价格调整</w:t>
      </w:r>
    </w:p>
    <w:p w14:paraId="2209D4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由于发包人原因未在约定的工期内竣工的，则对原约定竣工日期后继续施工的工程，在使用第16.1.1.1目价格调整公式时，应采用原约定竣工日期与实际竣工日期的两个价格指数中较高的一个作为当期价格指数。</w:t>
      </w:r>
    </w:p>
    <w:p w14:paraId="0CD8F2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16.1.1 采用造价信息调整价格差额（适用于投标函附录没有约定价格指数和权重的）</w:t>
      </w:r>
    </w:p>
    <w:p w14:paraId="5E88BA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量应由监理人复核，监理人确认需调整的材料单价及数量，作为调整合同价格差额的依据。</w:t>
      </w:r>
    </w:p>
    <w:p w14:paraId="19EB42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54" w:name="_Toc247514159"/>
      <w:bookmarkStart w:id="455" w:name="_Toc300835159"/>
      <w:bookmarkStart w:id="456" w:name="_Toc247527760"/>
      <w:r>
        <w:rPr>
          <w:rFonts w:hint="eastAsia" w:ascii="黑体" w:hAnsi="宋体" w:eastAsia="黑体" w:cs="黑体"/>
          <w:color w:val="000000"/>
          <w:sz w:val="24"/>
          <w:szCs w:val="24"/>
        </w:rPr>
        <w:t>16.1物价波动引起的调整（B）</w:t>
      </w:r>
      <w:bookmarkEnd w:id="454"/>
      <w:bookmarkEnd w:id="455"/>
      <w:bookmarkEnd w:id="456"/>
    </w:p>
    <w:p w14:paraId="19FCE1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除法律规定或专用合同条款另有约定外，合同价格不因物价波动进行调整。</w:t>
      </w:r>
    </w:p>
    <w:p w14:paraId="6F29E1F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57" w:name="_Toc247527761"/>
      <w:bookmarkStart w:id="458" w:name="_Toc247514160"/>
      <w:bookmarkStart w:id="459" w:name="_Toc300835160"/>
      <w:r>
        <w:rPr>
          <w:rFonts w:hint="eastAsia" w:ascii="黑体" w:hAnsi="宋体" w:eastAsia="黑体" w:cs="黑体"/>
          <w:color w:val="000000"/>
          <w:sz w:val="24"/>
          <w:szCs w:val="24"/>
        </w:rPr>
        <w:t>16.2法律变化引起的调整</w:t>
      </w:r>
      <w:bookmarkEnd w:id="457"/>
      <w:bookmarkEnd w:id="458"/>
      <w:bookmarkEnd w:id="459"/>
    </w:p>
    <w:p w14:paraId="4C7EAE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在基准日后，因法律变化导致承包人在合同履行中所需费用发生除第16.1 款约定以外的增减时，监理人应根据法律、国家或省、自治区、直辖市有关部门的规定，按第3.5 款商定或确定需调整的合同价格。</w:t>
      </w:r>
    </w:p>
    <w:p w14:paraId="1851330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460" w:name="_Toc79760327"/>
      <w:bookmarkStart w:id="461" w:name="_Toc27743"/>
      <w:bookmarkStart w:id="462" w:name="_Toc6760"/>
      <w:r>
        <w:rPr>
          <w:rFonts w:hint="eastAsia" w:ascii="黑体" w:hAnsi="宋体" w:eastAsia="黑体" w:cs="黑体"/>
          <w:color w:val="000000"/>
          <w:sz w:val="28"/>
          <w:szCs w:val="28"/>
        </w:rPr>
        <w:t>17. 合同价格与支付</w:t>
      </w:r>
      <w:bookmarkEnd w:id="460"/>
      <w:bookmarkEnd w:id="461"/>
      <w:bookmarkEnd w:id="462"/>
    </w:p>
    <w:p w14:paraId="58155E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63" w:name="_Toc296346621"/>
      <w:bookmarkStart w:id="464" w:name="_Toc337558828"/>
      <w:bookmarkStart w:id="465" w:name="_Toc296503120"/>
      <w:bookmarkStart w:id="466" w:name="_Toc522694350"/>
      <w:bookmarkStart w:id="467" w:name="_Toc351203612"/>
      <w:bookmarkStart w:id="468" w:name="_Toc523252293"/>
      <w:bookmarkStart w:id="469" w:name="_Toc300835169"/>
      <w:bookmarkStart w:id="470" w:name="_Toc247514166"/>
      <w:bookmarkStart w:id="471" w:name="_Toc247527767"/>
      <w:r>
        <w:rPr>
          <w:rFonts w:hint="eastAsia" w:ascii="黑体" w:hAnsi="宋体" w:eastAsia="黑体" w:cs="黑体"/>
          <w:color w:val="000000"/>
          <w:sz w:val="24"/>
          <w:szCs w:val="24"/>
        </w:rPr>
        <w:t>17.1 合同价格</w:t>
      </w:r>
      <w:bookmarkEnd w:id="463"/>
      <w:bookmarkEnd w:id="464"/>
      <w:bookmarkEnd w:id="465"/>
      <w:bookmarkEnd w:id="466"/>
      <w:bookmarkEnd w:id="467"/>
      <w:bookmarkEnd w:id="468"/>
      <w:bookmarkEnd w:id="469"/>
      <w:bookmarkEnd w:id="470"/>
      <w:bookmarkEnd w:id="471"/>
    </w:p>
    <w:p w14:paraId="46775C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除专用合同条款另有约定外，</w:t>
      </w:r>
    </w:p>
    <w:p w14:paraId="20B869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（1）合同价格包括签约合同价以及按照合同约定进行的调整；</w:t>
      </w:r>
    </w:p>
    <w:p w14:paraId="5D76A6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（2）合同价格包括承包人依据法律规定或合同约定应支付的规费和税金；</w:t>
      </w:r>
    </w:p>
    <w:p w14:paraId="05997AF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6DB74D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合同约定工程的某部分按照实际完成的工程量进行支付的，应按照专用合同条款的约定进行计量和估价，并据此调整合同价格。</w:t>
      </w:r>
    </w:p>
    <w:p w14:paraId="7D40F1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72" w:name="_Toc300835170"/>
      <w:bookmarkStart w:id="473" w:name="_Toc247527768"/>
      <w:bookmarkStart w:id="474" w:name="_Toc247514167"/>
      <w:r>
        <w:rPr>
          <w:rFonts w:hint="eastAsia" w:ascii="黑体" w:hAnsi="宋体" w:eastAsia="黑体" w:cs="黑体"/>
          <w:color w:val="000000"/>
          <w:sz w:val="24"/>
          <w:szCs w:val="24"/>
        </w:rPr>
        <w:t>17.2 预付款</w:t>
      </w:r>
      <w:bookmarkEnd w:id="472"/>
      <w:bookmarkEnd w:id="473"/>
      <w:bookmarkEnd w:id="474"/>
    </w:p>
    <w:p w14:paraId="795278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17.2.1 预付款</w:t>
      </w:r>
    </w:p>
    <w:p w14:paraId="44C8C0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预付款用于承包人为合同工程的设计和工程实施购置材料、工程设备、施工设备、修建临时设施以及组织施工队伍进场等。预付款的额度和支付在专用合同条款中约定。预付款必须专用于合同工作。</w:t>
      </w:r>
    </w:p>
    <w:p w14:paraId="2BE97A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17.2.2 预付款保函</w:t>
      </w:r>
    </w:p>
    <w:p w14:paraId="1487F0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07CFE15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17.2.3预付款的扣回与还清</w:t>
      </w:r>
    </w:p>
    <w:p w14:paraId="21DF9D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736695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黑体" w:hAnsi="宋体" w:eastAsia="黑体" w:cs="黑体"/>
          <w:color w:val="000000"/>
          <w:sz w:val="24"/>
          <w:szCs w:val="24"/>
        </w:rPr>
        <w:t>17.3工程进度付款</w:t>
      </w:r>
    </w:p>
    <w:p w14:paraId="049948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17.3.1 付款时间</w:t>
      </w:r>
    </w:p>
    <w:p w14:paraId="05C46CE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除专用合同条款另有约定外，工程进度付款按月支付。</w:t>
      </w:r>
    </w:p>
    <w:p w14:paraId="2EE163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17.3.2 支付分解表</w:t>
      </w:r>
    </w:p>
    <w:p w14:paraId="37B9B4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除专用合同条款另有约定外，承包人应根据价格清单的价格构成、费用性质、计划发生时间和相应工作量等因素，按照以下分类和分解原则，结合第4.12.1项约定的合同进度计划，汇总形成月度支付分解报告。</w:t>
      </w:r>
    </w:p>
    <w:p w14:paraId="3CF2C0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 xml:space="preserve">（1）勘察设计费。按照提供勘察设计阶段性成果文件的时间、对应的工作量进行分解。 </w:t>
      </w:r>
    </w:p>
    <w:p w14:paraId="70D3DA0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（2）材料和工程设备费。分别按订立采购合同、进场验收合格、安装就位、工程竣工等阶段和专用条款约定的比例进行分解。</w:t>
      </w:r>
    </w:p>
    <w:p w14:paraId="2F3517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（3）技术服务培训费。按照价格清单中的单价，结合第4.12.1项约定的合同进度计划对应的工作量进行分解。</w:t>
      </w:r>
    </w:p>
    <w:p w14:paraId="7F19CB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（4）其他工程价款。除第17.1款约定按已完成工程量计量支付的工程价款外，按照价格清单中的价格，结合第4.12.1项约定的合同进度计划拟完成的工程量或者比例进行分解。</w:t>
      </w:r>
    </w:p>
    <w:p w14:paraId="662F7A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规定报监理人批复。</w:t>
      </w:r>
    </w:p>
    <w:p w14:paraId="7960D9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17.3.3 进度付款申请单</w:t>
      </w:r>
    </w:p>
    <w:p w14:paraId="25119D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承包人应在每笔进度款支付前，按监理人批准的格式和专用合同条款约定的份数，向监理人提交进度付款申请单，并附相应的支持性证明文件。除合同另有约定外，进度付款申请单应包括下列内容：</w:t>
      </w:r>
    </w:p>
    <w:p w14:paraId="5686D7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（1）当期应支付金额总额，以及截至当期期末累计应支付金额总额、已支付的进度付款金额总额；</w:t>
      </w:r>
    </w:p>
    <w:p w14:paraId="150596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（2）当期根据支付分解表应支付金额，以及截至当期期末累计应支付金额；</w:t>
      </w:r>
    </w:p>
    <w:p w14:paraId="15D291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（3）当期根据第17.1款约定计量的已实施工程应支付金额，以及截至当期期末累计应支付金额；</w:t>
      </w:r>
    </w:p>
    <w:p w14:paraId="4129AC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（4）当期根据第15条应增加和扣减的变更金额，以及截至当期期末累计变更金额；</w:t>
      </w:r>
    </w:p>
    <w:p w14:paraId="4FBB98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（5）当期根据第23 条应增加和扣减的索赔金额，以及截至当期期末累计索赔金额；</w:t>
      </w:r>
    </w:p>
    <w:p w14:paraId="7F641C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（6）当期根据第17.2 款约定应支付的预付款和扣减的返还预付款金额，以及截至当期期末累计返还预付款金额；</w:t>
      </w:r>
    </w:p>
    <w:p w14:paraId="03D6B9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（7）当期根据第17.4.1 项约定应扣减的质量保证金金额，以及截至当期期末累计扣减的质量保证金金额；</w:t>
      </w:r>
    </w:p>
    <w:p w14:paraId="411C22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（8）当期根据合同应增加和扣减的其他金额，以及截至当期期末累计增加和扣减的金额。</w:t>
      </w:r>
    </w:p>
    <w:p w14:paraId="5FD69D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17.3.4 进度付款证书和支付时间</w:t>
      </w:r>
    </w:p>
    <w:p w14:paraId="13C991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573480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14:paraId="19AA4F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（3）监理人出具进度付款证书，不应视为监理人已同意、批准或接受了承包人完成的该部分工作。</w:t>
      </w:r>
    </w:p>
    <w:p w14:paraId="35D422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（4）进度付款涉及政府投资资金的，按照国库集中支付等国家相关规定和专用合同条款的约定执行。</w:t>
      </w:r>
    </w:p>
    <w:p w14:paraId="0D924A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17.3.5 工程进度付款的修正</w:t>
      </w:r>
    </w:p>
    <w:p w14:paraId="397AE4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在对以往历次已签发的进度付款证书进行汇总和复核中发现错、漏或重复的，监理人有权予以修正，承包人也有权提出修正申请。经监理人、承包人复核同意的修正，应在本次进度付款中支付或扣除。</w:t>
      </w:r>
    </w:p>
    <w:p w14:paraId="741259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bookmarkStart w:id="475" w:name="_Toc79760328"/>
      <w:r>
        <w:rPr>
          <w:rFonts w:hint="eastAsia" w:ascii="黑体" w:hAnsi="宋体" w:eastAsia="黑体" w:cs="黑体"/>
          <w:color w:val="000000"/>
          <w:sz w:val="24"/>
          <w:szCs w:val="24"/>
        </w:rPr>
        <w:t>17.4质量保证金</w:t>
      </w:r>
      <w:bookmarkEnd w:id="475"/>
    </w:p>
    <w:p w14:paraId="131DC5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17.4.1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6AB73CE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17.4.2 在第1.1.4.5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3C1237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688A5B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黑体" w:hAnsi="宋体" w:eastAsia="黑体" w:cs="黑体"/>
          <w:color w:val="000000"/>
          <w:sz w:val="24"/>
          <w:szCs w:val="24"/>
        </w:rPr>
        <w:t>17.5竣工结算</w:t>
      </w:r>
    </w:p>
    <w:p w14:paraId="30CE33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76" w:name="_Toc79760329"/>
      <w:r>
        <w:rPr>
          <w:rFonts w:hint="eastAsia" w:ascii="宋体" w:hAnsi="宋体" w:eastAsia="宋体" w:cs="宋体"/>
          <w:color w:val="000000"/>
          <w:sz w:val="24"/>
          <w:szCs w:val="24"/>
        </w:rPr>
        <w:t>17.5.1竣工付款申请单</w:t>
      </w:r>
      <w:bookmarkEnd w:id="476"/>
    </w:p>
    <w:p w14:paraId="7E66C7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3B59133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（2）监理人对竣工付款申请单有异议的，有权要求承包人进行修正和提供补充资料。经监理人和承包人协商后，由承包人向监理人提交修正后的竣工付款申请单。</w:t>
      </w:r>
    </w:p>
    <w:p w14:paraId="6BDE4F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17.5.2 竣工付款证书及支付时间</w:t>
      </w:r>
    </w:p>
    <w:p w14:paraId="24FB1B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0A87D54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（2）发包人应在监理人出具竣工付款证书后的14 天内，将应支付款支付给承包人。</w:t>
      </w:r>
    </w:p>
    <w:p w14:paraId="259FAD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（3）承包人对发包人签认的竣工付款证书有异议的，发包人可出具竣工付款申请单中承包人已同意部分的临时付款证书。存在争议的部分，按第24条的约定执行。</w:t>
      </w:r>
    </w:p>
    <w:p w14:paraId="7E882D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（4）竣工付款涉及政府投资资金的，按第17.3.4（4）项的约定执行。</w:t>
      </w:r>
    </w:p>
    <w:p w14:paraId="3DA97F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bookmarkStart w:id="477" w:name="_Toc79760330"/>
      <w:r>
        <w:rPr>
          <w:rFonts w:hint="eastAsia" w:ascii="黑体" w:hAnsi="宋体" w:eastAsia="黑体" w:cs="黑体"/>
          <w:color w:val="000000"/>
          <w:sz w:val="24"/>
          <w:szCs w:val="24"/>
        </w:rPr>
        <w:t>17.6最终结算</w:t>
      </w:r>
      <w:bookmarkEnd w:id="477"/>
    </w:p>
    <w:p w14:paraId="30EB0C5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478" w:name="_Toc79760331"/>
      <w:r>
        <w:rPr>
          <w:rFonts w:hint="eastAsia" w:ascii="宋体" w:hAnsi="宋体" w:eastAsia="宋体" w:cs="宋体"/>
          <w:color w:val="000000"/>
          <w:sz w:val="24"/>
          <w:szCs w:val="24"/>
        </w:rPr>
        <w:t>17.6.1最终结清申请单</w:t>
      </w:r>
      <w:bookmarkEnd w:id="478"/>
    </w:p>
    <w:p w14:paraId="496855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（1）缺陷责任期终止证书签发后，承包人可按专用合同条款约定的份数和期限向监理人提交最终结清申请单，并提供相关证明材料。</w:t>
      </w:r>
    </w:p>
    <w:p w14:paraId="0F8E75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（2）发包人对最终结清申请单内容有异议的，有权要求承包人进行修正和提供补充资料，由承包人向监理人提交修正后的最终结清申请单。</w:t>
      </w:r>
    </w:p>
    <w:p w14:paraId="316F23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17.6.2 最终结清证书和支付时间</w:t>
      </w:r>
    </w:p>
    <w:p w14:paraId="66C8E4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792AA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（2）发包人应在监理人出具最终结清证书后的14 天内，将应支付款支付给承包人。</w:t>
      </w:r>
    </w:p>
    <w:p w14:paraId="78CDCF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（3）承包人对发包人签认的最终结清证书有异议的，按第24条的约定执行。</w:t>
      </w:r>
    </w:p>
    <w:p w14:paraId="30D319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（4）最终结清付款涉及政府投资资金的，按第17.3.4（4）的约定执行。</w:t>
      </w:r>
    </w:p>
    <w:p w14:paraId="53E857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479" w:name="_Toc1921"/>
      <w:bookmarkStart w:id="480" w:name="_Toc79760332"/>
      <w:bookmarkStart w:id="481" w:name="_Toc8169"/>
      <w:r>
        <w:rPr>
          <w:rFonts w:hint="eastAsia" w:ascii="黑体" w:hAnsi="宋体" w:eastAsia="黑体" w:cs="黑体"/>
          <w:color w:val="000000"/>
          <w:sz w:val="28"/>
          <w:szCs w:val="28"/>
        </w:rPr>
        <w:t>18. 竣工试验和竣工验收</w:t>
      </w:r>
      <w:bookmarkEnd w:id="479"/>
      <w:bookmarkEnd w:id="480"/>
      <w:bookmarkEnd w:id="481"/>
    </w:p>
    <w:p w14:paraId="772207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82" w:name="_Toc296503116"/>
      <w:bookmarkStart w:id="483" w:name="_Toc523252289"/>
      <w:bookmarkStart w:id="484" w:name="_Toc337558823"/>
      <w:bookmarkStart w:id="485" w:name="_Toc522694345"/>
      <w:bookmarkStart w:id="486" w:name="_Toc351203607"/>
      <w:bookmarkStart w:id="487" w:name="_Toc296346617"/>
      <w:r>
        <w:rPr>
          <w:rFonts w:hint="eastAsia" w:ascii="宋体" w:hAnsi="宋体" w:eastAsia="宋体" w:cs="宋体"/>
          <w:color w:val="000000"/>
          <w:sz w:val="24"/>
          <w:szCs w:val="24"/>
        </w:rPr>
        <w:t>18.1竣工试验</w:t>
      </w:r>
      <w:bookmarkEnd w:id="482"/>
      <w:bookmarkEnd w:id="483"/>
      <w:bookmarkEnd w:id="484"/>
      <w:bookmarkEnd w:id="485"/>
      <w:bookmarkEnd w:id="486"/>
      <w:bookmarkEnd w:id="487"/>
    </w:p>
    <w:p w14:paraId="5FBBAB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88" w:name="_Toc79760333"/>
      <w:r>
        <w:rPr>
          <w:rFonts w:hint="eastAsia" w:ascii="宋体" w:hAnsi="宋体" w:eastAsia="宋体" w:cs="宋体"/>
          <w:color w:val="000000"/>
          <w:sz w:val="24"/>
          <w:szCs w:val="24"/>
        </w:rPr>
        <w:t>18.1.1承包人按照第5.5款和第5.6款提交文件后，进行竣工试验。</w:t>
      </w:r>
      <w:bookmarkEnd w:id="488"/>
    </w:p>
    <w:p w14:paraId="34A8AD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18.1.2承包人应提前21天将可以开始进行竣工试验的日期通知监理人，监理人应在该日期后14天内，确定竣工试验具体时间。除专用合同条款中另有约定外，竣工试验应按下述顺序进行：</w:t>
      </w:r>
    </w:p>
    <w:p w14:paraId="3853C1D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（1）第一阶段，承包人进行适当的检查和功能性试验，保证每一项工程设备都满足合同要求，并能安全地进入下一阶段试验；</w:t>
      </w:r>
    </w:p>
    <w:p w14:paraId="1099FE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（2）第二阶段，承包人进行试验，保证工程或区段工程满足合同要求，在所有可利用的操作条件下安全运行；</w:t>
      </w:r>
    </w:p>
    <w:p w14:paraId="300D07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（3）第三阶段，当工程能安全运行时，承包人应通知监理人，可以进行其他竣工试验，包括各种性能测试，以证明工程符合发包人要求中列明的性能保证指标。</w:t>
      </w:r>
    </w:p>
    <w:p w14:paraId="22B437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18.1.3 承包人应按合同约定进行工程及工程设备试运行。试运行所需人员、设备、材料、燃料、电力、消耗品、工具等必要的条件以及试运行费用等由专用合同条款规定。</w:t>
      </w:r>
    </w:p>
    <w:p w14:paraId="5A54A8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18.1.4 某项竣工试验未能通过的，承包人应按照监理人的指示限期改正，并承担合同约定的相应责任。</w:t>
      </w:r>
    </w:p>
    <w:p w14:paraId="41CD5B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18.2竣工验收申请报告</w:t>
      </w:r>
    </w:p>
    <w:p w14:paraId="44B779D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当工程具备以下条件时，承包人即可向监理人报送竣工验收申请报告：</w:t>
      </w:r>
    </w:p>
    <w:p w14:paraId="01BFCA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（1）除监理人同意列入缺陷责任期内完成的尾工（甩项）工程和缺陷修补工作外，合同范围内的全部区段工程以及有关工作，包括合同要求的试验和竣工试验均已完成，并符合合同要求；</w:t>
      </w:r>
    </w:p>
    <w:p w14:paraId="265891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89" w:name="_Toc79760334"/>
      <w:r>
        <w:rPr>
          <w:rFonts w:hint="eastAsia" w:ascii="宋体" w:hAnsi="宋体" w:eastAsia="宋体" w:cs="宋体"/>
          <w:color w:val="000000"/>
          <w:sz w:val="24"/>
          <w:szCs w:val="24"/>
        </w:rPr>
        <w:t>（2）已按合同约定的内容和份数备齐了符合要求的竣工文件；</w:t>
      </w:r>
      <w:bookmarkEnd w:id="489"/>
    </w:p>
    <w:p w14:paraId="6FCB26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（3）已按监理人的要求编制了在缺陷责任期内完成的尾工（甩项）工程和缺陷修补工作清单以及相应施工计划；</w:t>
      </w:r>
    </w:p>
    <w:p w14:paraId="2ACE7C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（4）监理人要求在竣工验收前应完成的其他工作；</w:t>
      </w:r>
    </w:p>
    <w:p w14:paraId="468062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（5）监理人要求提交的竣工验收资料清单。</w:t>
      </w:r>
    </w:p>
    <w:p w14:paraId="5F681E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18.3竣工验收</w:t>
      </w:r>
    </w:p>
    <w:p w14:paraId="7837EF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监理人收到承包人按第18.2 款约定提交的竣工验收申请报告后，应审查申请报告的各项内容，并按以下不同情况进行处理。</w:t>
      </w:r>
    </w:p>
    <w:p w14:paraId="4129A5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29589D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18.3.2 监理人同意承包人提交的竣工验收申请报告的，应在收到该竣工验收申请报告后的28天内提请发包人进行工程验收。</w:t>
      </w:r>
    </w:p>
    <w:p w14:paraId="717DD15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1C51F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18.3.4 发包人验收后不同意接收工程的，监理人应按照发包人的验收意见发出指示，要求承包人对不合格工程认真返工重做或进行补救处理，并承担由此产生的费用。承包人在完成不合格工程的返工重做或补救工作后，应重新提交竣工验收申请报告，按第18.3.1 项、第18.3.2 项和第18.3.3 项的约定进行。</w:t>
      </w:r>
    </w:p>
    <w:p w14:paraId="20C08D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18.3.5 除专用合同条款另有约定外，经验收合格工程的实际竣工日期，以提交竣工验收申请报告的日期为准，并在工程接收证书中写明。</w:t>
      </w:r>
    </w:p>
    <w:p w14:paraId="68DC02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18.3.6 发包人在收到承包人竣工验收申请报告56 天后未进行验收的，视为验收合格，实际竣工日期以提交竣工验收申请报告的日期为准，但发包人由于不可抗力不能进行验收的除外。</w:t>
      </w:r>
    </w:p>
    <w:p w14:paraId="348AC21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18.4国家验收</w:t>
      </w:r>
    </w:p>
    <w:p w14:paraId="42395C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需要进行国家验收的，竣工验收是国家验收的一部分。竣工验收所采用的各项验收和评定标准应符合国家验收标准。发包人和承包人为竣工验收提供的各项竣工验收资料应符合国家验收的要求。</w:t>
      </w:r>
    </w:p>
    <w:p w14:paraId="596C083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90" w:name="_Toc79760335"/>
      <w:r>
        <w:rPr>
          <w:rFonts w:hint="eastAsia" w:ascii="宋体" w:hAnsi="宋体" w:eastAsia="宋体" w:cs="宋体"/>
          <w:color w:val="000000"/>
          <w:sz w:val="24"/>
          <w:szCs w:val="24"/>
        </w:rPr>
        <w:t>18.5区段工程验收</w:t>
      </w:r>
      <w:bookmarkEnd w:id="490"/>
    </w:p>
    <w:p w14:paraId="50E1566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18.5.1 发包人根据合同进度计划安排，在全部工程竣工前需要使用已经竣工的区段工程时，或承包人提出经发包人同意时，可进行区段工程验收。验收的程序可参照第18.2款与第18.3 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0F840A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18.5.2 发包人在全部工程竣工前，使用已接收的区段工程导致承包人费用增加的，发包人应承担由此增加的费用和（或）工期延误，并支付承包人合理利润。</w:t>
      </w:r>
    </w:p>
    <w:p w14:paraId="76151A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18.6施工期运行</w:t>
      </w:r>
    </w:p>
    <w:p w14:paraId="20DE72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18.6.1施工期运行是指合同工程尚未全部竣工，其中某项或某几项区段工程或工程设备安装已竣工，根据专用合同条款约定，需要投入施工期运行的，经发包人按第18.5 款的约定验收合格，证明能确保安全后，才能在施工期投入运行。</w:t>
      </w:r>
    </w:p>
    <w:p w14:paraId="686720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18.6.2 在施工期运行中发现工程或工程设备损坏或存在缺陷的，由承包人按第19.2 款约定进行修复。</w:t>
      </w:r>
    </w:p>
    <w:p w14:paraId="2AEE5C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18.7竣工清场</w:t>
      </w:r>
    </w:p>
    <w:p w14:paraId="5D1CE1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18.7.1除合同另有约定外，工程接收证书颁发后，承包人应按以下要求对施工场地进行清理，直至监理人检验合格为止。竣工清场费用由承包人承担。</w:t>
      </w:r>
    </w:p>
    <w:p w14:paraId="78BE01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（1）施工场地内残留的垃圾已全部清除出场；</w:t>
      </w:r>
    </w:p>
    <w:p w14:paraId="201DEA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（2）临时工程已拆除，场地已按合同要求进行清理、平整或复原；</w:t>
      </w:r>
    </w:p>
    <w:p w14:paraId="2FAA30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（3）按合同约定应撤离的承包人设备和剩余的材料，包括废弃的施工设备和材料，已按计划撤离施工场地；</w:t>
      </w:r>
    </w:p>
    <w:p w14:paraId="6C2D77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（4）工程建筑物周边及其附近道路、河道的施工堆积物，已按监理人指示全部清理；</w:t>
      </w:r>
    </w:p>
    <w:p w14:paraId="7759C3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（5）监理人指示的其他场地清理工作已全部完成。</w:t>
      </w:r>
    </w:p>
    <w:p w14:paraId="0848CC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18.7.2 承包人未按监理人的要求恢复临时占地，或者场地清理未达到合同约定的，发包人有权委托其他人恢复或清理，所发生的金额从拟支付给承包人的款项中扣除。</w:t>
      </w:r>
    </w:p>
    <w:p w14:paraId="2176FC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18.8施工队伍的撤离</w:t>
      </w:r>
    </w:p>
    <w:p w14:paraId="05A185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509B622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91" w:name="_Toc79760336"/>
      <w:r>
        <w:rPr>
          <w:rFonts w:hint="eastAsia" w:ascii="宋体" w:hAnsi="宋体" w:eastAsia="宋体" w:cs="宋体"/>
          <w:color w:val="000000"/>
          <w:sz w:val="24"/>
          <w:szCs w:val="24"/>
        </w:rPr>
        <w:t>18.9竣工后试验（A）</w:t>
      </w:r>
      <w:bookmarkEnd w:id="491"/>
    </w:p>
    <w:p w14:paraId="167E13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除专用合同条款另有约定外，发包人应：</w:t>
      </w:r>
    </w:p>
    <w:p w14:paraId="5B18D8A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（1）为竣工后试验提供必要的电力、设备、燃料、仪器、劳力、材料，以及具有适当资质和经验的工作人员；</w:t>
      </w:r>
    </w:p>
    <w:p w14:paraId="6FCFB5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（2）根据承包商按照第5.6款提供的手册，以及承包人给予的指导进行竣工后试验。</w:t>
      </w:r>
    </w:p>
    <w:p w14:paraId="42A0DC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发包人应提前21天将竣工后试验的日期通知承包人。如果承包人未能在该日期出席竣工后试验，发包人可自行进行，承包人应对检验数据予以认可。</w:t>
      </w:r>
    </w:p>
    <w:p w14:paraId="630A6D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因承包人原因造成某项竣工后试验未能通过的，承包人应按照合同的约定进行赔偿，或者承包人提出修复建议，按照发包人指示的合理期限内改正，并承担合同约定的相应责任。</w:t>
      </w:r>
    </w:p>
    <w:p w14:paraId="2E100C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92" w:name="_Toc79760337"/>
      <w:r>
        <w:rPr>
          <w:rFonts w:hint="eastAsia" w:ascii="宋体" w:hAnsi="宋体" w:eastAsia="宋体" w:cs="宋体"/>
          <w:color w:val="000000"/>
          <w:sz w:val="24"/>
          <w:szCs w:val="24"/>
        </w:rPr>
        <w:t>18.9竣工后试验（B）</w:t>
      </w:r>
      <w:bookmarkEnd w:id="492"/>
    </w:p>
    <w:p w14:paraId="0AA6B1C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除专用合同条款另有约定外：</w:t>
      </w:r>
    </w:p>
    <w:p w14:paraId="6864E06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93" w:name="_Toc79760338"/>
      <w:r>
        <w:rPr>
          <w:rFonts w:hint="eastAsia" w:ascii="宋体" w:hAnsi="宋体" w:eastAsia="宋体" w:cs="宋体"/>
          <w:color w:val="000000"/>
          <w:sz w:val="24"/>
          <w:szCs w:val="24"/>
        </w:rPr>
        <w:t>（1）发包人为竣工后试验提供必要的电力、材料、燃料、发包人人员和工程设备；</w:t>
      </w:r>
      <w:bookmarkEnd w:id="493"/>
    </w:p>
    <w:p w14:paraId="03E15A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（2）承包人应提供竣工后试验所需要的所有其他设备、仪器，以及有资格和经验的工作人员；</w:t>
      </w:r>
    </w:p>
    <w:p w14:paraId="7A543B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569DD0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494" w:name="_Toc24780"/>
      <w:bookmarkStart w:id="495" w:name="_Toc31753"/>
      <w:bookmarkStart w:id="496" w:name="_Toc79760339"/>
      <w:r>
        <w:rPr>
          <w:rFonts w:hint="eastAsia" w:ascii="黑体" w:hAnsi="宋体" w:eastAsia="黑体" w:cs="黑体"/>
          <w:color w:val="000000"/>
          <w:sz w:val="28"/>
          <w:szCs w:val="28"/>
        </w:rPr>
        <w:t>19. 缺陷责任与保修责任</w:t>
      </w:r>
      <w:bookmarkEnd w:id="494"/>
      <w:bookmarkEnd w:id="495"/>
      <w:bookmarkEnd w:id="496"/>
    </w:p>
    <w:p w14:paraId="7543D7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497" w:name="_Toc337558824"/>
      <w:bookmarkStart w:id="498" w:name="_Toc296346618"/>
      <w:bookmarkStart w:id="499" w:name="_Toc296503117"/>
      <w:bookmarkStart w:id="500" w:name="_Toc523252290"/>
      <w:bookmarkStart w:id="501" w:name="_Toc351203608"/>
      <w:bookmarkStart w:id="502" w:name="_Toc522694346"/>
      <w:r>
        <w:rPr>
          <w:rFonts w:hint="eastAsia" w:ascii="宋体" w:hAnsi="宋体" w:eastAsia="宋体" w:cs="宋体"/>
          <w:color w:val="000000"/>
          <w:sz w:val="24"/>
          <w:szCs w:val="24"/>
        </w:rPr>
        <w:t>19.1 缺陷责任期的起算时间</w:t>
      </w:r>
      <w:bookmarkEnd w:id="497"/>
      <w:bookmarkEnd w:id="498"/>
      <w:bookmarkEnd w:id="499"/>
      <w:bookmarkEnd w:id="500"/>
      <w:bookmarkEnd w:id="501"/>
      <w:bookmarkEnd w:id="502"/>
    </w:p>
    <w:p w14:paraId="3C9A4C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03" w:name="_Toc296346619"/>
      <w:bookmarkStart w:id="504" w:name="_Toc296503118"/>
      <w:bookmarkStart w:id="505" w:name="_Toc337558825"/>
      <w:bookmarkStart w:id="506" w:name="_Toc351203609"/>
      <w:bookmarkStart w:id="507" w:name="_Toc522694347"/>
      <w:bookmarkStart w:id="508" w:name="_Toc523252291"/>
      <w:r>
        <w:rPr>
          <w:rFonts w:hint="eastAsia" w:ascii="宋体" w:hAnsi="宋体" w:eastAsia="宋体" w:cs="宋体"/>
          <w:color w:val="000000"/>
          <w:sz w:val="24"/>
          <w:szCs w:val="24"/>
        </w:rPr>
        <w:t>缺陷责任期自实际竣工日期起计算。在全部工程竣工验收前，已经发包人提前验收的区段工程或进入施工期运行的工程，其缺陷责任期的起算日期相应提前到相应工程竣工日。</w:t>
      </w:r>
      <w:bookmarkEnd w:id="503"/>
      <w:bookmarkEnd w:id="504"/>
      <w:bookmarkEnd w:id="505"/>
      <w:bookmarkEnd w:id="506"/>
      <w:bookmarkEnd w:id="507"/>
      <w:bookmarkEnd w:id="508"/>
    </w:p>
    <w:p w14:paraId="1E218D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19.2 缺陷责任</w:t>
      </w:r>
    </w:p>
    <w:p w14:paraId="52F40B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509" w:name="_Toc337558826"/>
      <w:bookmarkStart w:id="510" w:name="_Toc296346620"/>
      <w:bookmarkStart w:id="511" w:name="_Toc296503119"/>
      <w:bookmarkStart w:id="512" w:name="_Toc351203610"/>
      <w:bookmarkStart w:id="513" w:name="_Toc522694348"/>
      <w:r>
        <w:rPr>
          <w:rFonts w:hint="eastAsia" w:ascii="宋体" w:hAnsi="宋体" w:eastAsia="宋体" w:cs="宋体"/>
          <w:color w:val="000000"/>
          <w:sz w:val="24"/>
          <w:szCs w:val="24"/>
        </w:rPr>
        <w:t>19.2.1 承包人应在缺陷责任期内对已交付使用的工程承担缺陷责任。</w:t>
      </w:r>
      <w:bookmarkEnd w:id="509"/>
      <w:bookmarkEnd w:id="510"/>
      <w:bookmarkEnd w:id="511"/>
      <w:bookmarkEnd w:id="512"/>
      <w:bookmarkEnd w:id="513"/>
    </w:p>
    <w:p w14:paraId="0A3B60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4C90BD3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EB40F5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19.2.4 承包人不能在合理时间内修复缺陷的，发包人可自行修复或委托其他人修复，所需费用和利润的承担，按第19.2.3 项约定执行。</w:t>
      </w:r>
    </w:p>
    <w:p w14:paraId="7FC837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19.3 缺陷责任期的延长</w:t>
      </w:r>
    </w:p>
    <w:p w14:paraId="1167A7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514" w:name="_Toc337558820"/>
      <w:bookmarkStart w:id="515" w:name="_Toc523252285"/>
      <w:bookmarkStart w:id="516" w:name="_Toc351203603"/>
      <w:bookmarkStart w:id="517" w:name="_Toc522694342"/>
      <w:r>
        <w:rPr>
          <w:rFonts w:hint="eastAsia" w:ascii="宋体" w:hAnsi="宋体" w:eastAsia="宋体" w:cs="宋体"/>
          <w:color w:val="000000"/>
          <w:sz w:val="24"/>
          <w:szCs w:val="24"/>
        </w:rPr>
        <w:t>由于承包人原因造成某项缺陷或损坏使某项工程或工程设备不能按原定目标使用而需要再次检查、检验和修复的，发包人有权要求承包人相应延长缺陷责任期，但缺陷责任期最长不超过2年。</w:t>
      </w:r>
      <w:bookmarkEnd w:id="514"/>
      <w:bookmarkEnd w:id="515"/>
      <w:bookmarkEnd w:id="516"/>
      <w:bookmarkEnd w:id="517"/>
    </w:p>
    <w:p w14:paraId="5B3B050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19.4 进一步试验和试运行</w:t>
      </w:r>
    </w:p>
    <w:p w14:paraId="051E2D4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ascii="Calibri" w:hAnsi="Calibri" w:cs="Calibri"/>
          <w:color w:val="000000"/>
          <w:sz w:val="24"/>
          <w:szCs w:val="24"/>
        </w:rPr>
        <w:t>任何一项缺陷或损坏修复后，经检查证明其影响了工程或工程设备的使用性能，承包人应重新进行合同约定的试验和试运行，试验和试运行的全部费用应由责任方承担。</w:t>
      </w:r>
    </w:p>
    <w:p w14:paraId="30ADE1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19.5 承包人的进入权</w:t>
      </w:r>
    </w:p>
    <w:p w14:paraId="1F547D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Calibri" w:hAnsi="Calibri" w:cs="Calibri"/>
          <w:color w:val="000000"/>
          <w:sz w:val="24"/>
          <w:szCs w:val="24"/>
        </w:rPr>
        <w:t>缺陷责任期内承包人为缺陷修复工作需要，有权进入工程现场，但应遵守发包人的保安和保密规定。</w:t>
      </w:r>
    </w:p>
    <w:p w14:paraId="2145BA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518" w:name="_Toc79760340"/>
      <w:r>
        <w:rPr>
          <w:rFonts w:hint="eastAsia" w:ascii="宋体" w:hAnsi="宋体" w:eastAsia="宋体" w:cs="宋体"/>
          <w:color w:val="000000"/>
          <w:sz w:val="24"/>
          <w:szCs w:val="24"/>
        </w:rPr>
        <w:t>19.6 缺陷责任期终止证书</w:t>
      </w:r>
      <w:bookmarkEnd w:id="518"/>
    </w:p>
    <w:p w14:paraId="201FE7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Calibri" w:hAnsi="Calibri" w:cs="Calibri"/>
          <w:color w:val="000000"/>
          <w:sz w:val="24"/>
          <w:szCs w:val="24"/>
        </w:rPr>
        <w:t>在第</w:t>
      </w:r>
      <w:r>
        <w:rPr>
          <w:rFonts w:hint="eastAsia" w:ascii="宋体" w:hAnsi="宋体" w:eastAsia="宋体" w:cs="宋体"/>
          <w:color w:val="000000"/>
          <w:sz w:val="24"/>
          <w:szCs w:val="24"/>
        </w:rPr>
        <w:t>1.1.4.5</w:t>
      </w:r>
      <w:r>
        <w:rPr>
          <w:rFonts w:hint="default" w:ascii="Calibri" w:hAnsi="Calibri" w:cs="Calibri"/>
          <w:color w:val="000000"/>
          <w:sz w:val="24"/>
          <w:szCs w:val="24"/>
        </w:rPr>
        <w:t>目约定的缺陷责任期，包括根据第</w:t>
      </w:r>
      <w:r>
        <w:rPr>
          <w:rFonts w:hint="eastAsia" w:ascii="宋体" w:hAnsi="宋体" w:eastAsia="宋体" w:cs="宋体"/>
          <w:color w:val="000000"/>
          <w:sz w:val="24"/>
          <w:szCs w:val="24"/>
        </w:rPr>
        <w:t>19.3</w:t>
      </w:r>
      <w:r>
        <w:rPr>
          <w:rFonts w:hint="default" w:ascii="Calibri" w:hAnsi="Calibri" w:cs="Calibri"/>
          <w:color w:val="000000"/>
          <w:sz w:val="24"/>
          <w:szCs w:val="24"/>
        </w:rPr>
        <w:t>款延长的期限终止后</w:t>
      </w:r>
      <w:r>
        <w:rPr>
          <w:rFonts w:hint="eastAsia" w:ascii="宋体" w:hAnsi="宋体" w:eastAsia="宋体" w:cs="宋体"/>
          <w:color w:val="000000"/>
          <w:sz w:val="24"/>
          <w:szCs w:val="24"/>
        </w:rPr>
        <w:t>14</w:t>
      </w:r>
      <w:r>
        <w:rPr>
          <w:rFonts w:hint="default" w:ascii="Calibri" w:hAnsi="Calibri" w:cs="Calibri"/>
          <w:color w:val="000000"/>
          <w:sz w:val="24"/>
          <w:szCs w:val="24"/>
        </w:rPr>
        <w:t>天内，由监理人向承包人出具经发包人签认的缺陷责任期终止证书，并退还剩余的质量保证金。</w:t>
      </w:r>
    </w:p>
    <w:p w14:paraId="0A6B59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519" w:name="_Toc79760341"/>
      <w:r>
        <w:rPr>
          <w:rFonts w:hint="eastAsia" w:ascii="宋体" w:hAnsi="宋体" w:eastAsia="宋体" w:cs="宋体"/>
          <w:color w:val="000000"/>
          <w:sz w:val="24"/>
          <w:szCs w:val="24"/>
        </w:rPr>
        <w:t>19.7 保修责任</w:t>
      </w:r>
      <w:bookmarkEnd w:id="519"/>
    </w:p>
    <w:p w14:paraId="1D84A2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Calibri" w:hAnsi="Calibri" w:cs="Calibri"/>
          <w:color w:val="000000"/>
          <w:sz w:val="24"/>
          <w:szCs w:val="24"/>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625ACD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520" w:name="_Toc79760342"/>
      <w:bookmarkStart w:id="521" w:name="_Toc25452"/>
      <w:bookmarkStart w:id="522" w:name="_Toc18056"/>
      <w:r>
        <w:rPr>
          <w:rFonts w:hint="eastAsia" w:ascii="黑体" w:hAnsi="宋体" w:eastAsia="黑体" w:cs="黑体"/>
          <w:color w:val="000000"/>
          <w:sz w:val="28"/>
          <w:szCs w:val="28"/>
        </w:rPr>
        <w:t>20. 保险</w:t>
      </w:r>
      <w:bookmarkEnd w:id="520"/>
      <w:bookmarkEnd w:id="521"/>
      <w:bookmarkEnd w:id="522"/>
    </w:p>
    <w:p w14:paraId="31654F5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23" w:name="_Toc296503140"/>
      <w:bookmarkStart w:id="524" w:name="_Toc337558835"/>
      <w:bookmarkStart w:id="525" w:name="_Toc296346641"/>
      <w:bookmarkStart w:id="526" w:name="_Toc523252301"/>
      <w:bookmarkStart w:id="527" w:name="_Toc522694358"/>
      <w:bookmarkStart w:id="528" w:name="_Toc351203620"/>
      <w:bookmarkStart w:id="529" w:name="_Toc300835187"/>
      <w:bookmarkStart w:id="530" w:name="_Toc247527786"/>
      <w:bookmarkStart w:id="531" w:name="_Toc247514185"/>
      <w:r>
        <w:rPr>
          <w:rFonts w:hint="eastAsia" w:ascii="宋体" w:hAnsi="宋体" w:eastAsia="宋体" w:cs="宋体"/>
          <w:color w:val="000000"/>
          <w:sz w:val="24"/>
          <w:szCs w:val="24"/>
        </w:rPr>
        <w:t>20.1 设计和工程保险</w:t>
      </w:r>
      <w:bookmarkEnd w:id="523"/>
      <w:bookmarkEnd w:id="524"/>
      <w:bookmarkEnd w:id="525"/>
      <w:bookmarkEnd w:id="526"/>
      <w:bookmarkEnd w:id="527"/>
      <w:bookmarkEnd w:id="528"/>
      <w:bookmarkEnd w:id="529"/>
      <w:bookmarkEnd w:id="530"/>
      <w:bookmarkEnd w:id="531"/>
    </w:p>
    <w:p w14:paraId="779543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253E3F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20.1.2 在缺陷责任期终止证书颁发前，承包人应按照专用合同条款的约定投保第三者责任险。</w:t>
      </w:r>
    </w:p>
    <w:p w14:paraId="3AE871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32" w:name="_Toc247527787"/>
      <w:bookmarkStart w:id="533" w:name="_Toc300835188"/>
      <w:bookmarkStart w:id="534" w:name="_Toc247514186"/>
      <w:r>
        <w:rPr>
          <w:rFonts w:hint="eastAsia" w:ascii="宋体" w:hAnsi="宋体" w:eastAsia="宋体" w:cs="宋体"/>
          <w:color w:val="000000"/>
          <w:sz w:val="24"/>
          <w:szCs w:val="24"/>
        </w:rPr>
        <w:t xml:space="preserve">20.2 </w:t>
      </w:r>
      <w:bookmarkEnd w:id="532"/>
      <w:bookmarkEnd w:id="533"/>
      <w:bookmarkEnd w:id="534"/>
      <w:r>
        <w:rPr>
          <w:rFonts w:hint="eastAsia" w:ascii="宋体" w:hAnsi="宋体" w:eastAsia="宋体" w:cs="宋体"/>
          <w:color w:val="000000"/>
          <w:sz w:val="24"/>
          <w:szCs w:val="24"/>
        </w:rPr>
        <w:t>工伤保险</w:t>
      </w:r>
    </w:p>
    <w:p w14:paraId="3D0143E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20.2.1 承包人员工伤保险</w:t>
      </w:r>
    </w:p>
    <w:p w14:paraId="40DB63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承包人应依照有关法律规定，为其履行合同所雇佣的全部人员投保工伤保险，缴纳工伤保险费，并要求其分包人也投保此项保险。</w:t>
      </w:r>
    </w:p>
    <w:p w14:paraId="515A71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20.2.2 发包人员工伤保险</w:t>
      </w:r>
    </w:p>
    <w:p w14:paraId="60ADC9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发包人应依照有关法律规定，为其现场机构雇佣的全部人员投保工伤保险，缴纳工伤保险费，并要求其监理人也进行此项保险。</w:t>
      </w:r>
    </w:p>
    <w:p w14:paraId="59EC28C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35" w:name="_Toc300835189"/>
      <w:bookmarkStart w:id="536" w:name="_Toc247527788"/>
      <w:bookmarkStart w:id="537" w:name="_Toc247514187"/>
      <w:r>
        <w:rPr>
          <w:rFonts w:hint="eastAsia" w:ascii="宋体" w:hAnsi="宋体" w:eastAsia="宋体" w:cs="宋体"/>
          <w:color w:val="000000"/>
          <w:sz w:val="24"/>
          <w:szCs w:val="24"/>
        </w:rPr>
        <w:t>20.3 人身意外伤害险</w:t>
      </w:r>
      <w:bookmarkEnd w:id="535"/>
      <w:bookmarkEnd w:id="536"/>
      <w:bookmarkEnd w:id="537"/>
    </w:p>
    <w:p w14:paraId="18BCA4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20.3.1 发包人应在整个施工期间为其现场机构雇用的全部人员，投保人身意外伤害险，缴纳保险费，并要求其监理人也进行此项保险。</w:t>
      </w:r>
    </w:p>
    <w:p w14:paraId="3A6F8B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20.3.2 承包人应在整个施工期间为其现场机构雇用的全部人员，投保人身意外伤害险，缴纳保险费，并要求其分包人也进行此项保险</w:t>
      </w:r>
      <w:r>
        <w:rPr>
          <w:rFonts w:hint="eastAsia" w:ascii="宋体" w:hAnsi="宋体" w:eastAsia="宋体" w:cs="宋体"/>
          <w:color w:val="000000"/>
          <w:sz w:val="21"/>
          <w:szCs w:val="21"/>
        </w:rPr>
        <w:t>。</w:t>
      </w:r>
    </w:p>
    <w:p w14:paraId="354A2D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20.4 其他保险</w:t>
      </w:r>
    </w:p>
    <w:p w14:paraId="05C0E0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除专用合同条款另有约定外，承包人应为其施工设备、进场的材料和工程设备等办理保险。</w:t>
      </w:r>
    </w:p>
    <w:p w14:paraId="429FA1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20.5 对各项保险的一般要求</w:t>
      </w:r>
    </w:p>
    <w:p w14:paraId="6CD5DF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20.5.1 保险凭证</w:t>
      </w:r>
    </w:p>
    <w:p w14:paraId="3AB94CC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承包人应在专用合同条款约定的期限内向发包人提交各项保险生效的证据和保险单副本，保险单必须与专用合同条款约定的条件保持一致。</w:t>
      </w:r>
    </w:p>
    <w:p w14:paraId="45B835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20.5.2 保险合同条款的变动</w:t>
      </w:r>
    </w:p>
    <w:p w14:paraId="227CF2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承包人需要变动保险合同条款时，应事先征得发包人同意，并通知监理人。保险人作出变动的，承包人应在收到保险人通知后立即通知发包人和监理人。</w:t>
      </w:r>
    </w:p>
    <w:p w14:paraId="63779CF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20.5.3 持续保险</w:t>
      </w:r>
    </w:p>
    <w:p w14:paraId="52209C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承包人应与保险人保持联系，使保险人能够随时了解工程实施中的变动，并确保按保险合同条款要求持续保险。</w:t>
      </w:r>
    </w:p>
    <w:p w14:paraId="7A0D87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20.5.4 保险金不足的补偿</w:t>
      </w:r>
    </w:p>
    <w:p w14:paraId="02DBA0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保险金不足以补偿损失的，应由承包人和（或）发包人按合同约定负责补偿。</w:t>
      </w:r>
    </w:p>
    <w:p w14:paraId="3CD1E7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20.5.5 未按约定投保的补救</w:t>
      </w:r>
    </w:p>
    <w:p w14:paraId="7DE50E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（1）由于负有投保义务的一方当事人未按合同约定办理保险，或未能使保险持续有效的，另一方当事人可代为办理，所需费用由对方当事人承担。</w:t>
      </w:r>
    </w:p>
    <w:p w14:paraId="6D6CF1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（2）由于负有投保义务的一方当事人未按合同约定办理某项保险，导致受益人未能得到保险人的赔偿，原应从该项保险得到的保险金应由负有投保义务的一方当事人支付。</w:t>
      </w:r>
    </w:p>
    <w:p w14:paraId="11C128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20.5.6 报告义务</w:t>
      </w:r>
    </w:p>
    <w:p w14:paraId="08F33C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当保险事故发生时，投保人应按照保险单规定的条件和期限及时向保险人报告。</w:t>
      </w:r>
    </w:p>
    <w:p w14:paraId="39A369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538" w:name="_Toc11115"/>
      <w:bookmarkStart w:id="539" w:name="_Toc79760343"/>
      <w:bookmarkStart w:id="540" w:name="_Toc13549"/>
      <w:r>
        <w:rPr>
          <w:rFonts w:hint="eastAsia" w:ascii="黑体" w:hAnsi="宋体" w:eastAsia="黑体" w:cs="黑体"/>
          <w:color w:val="000000"/>
          <w:sz w:val="28"/>
          <w:szCs w:val="28"/>
        </w:rPr>
        <w:t>21. 不可抗力</w:t>
      </w:r>
      <w:bookmarkEnd w:id="538"/>
      <w:bookmarkEnd w:id="539"/>
      <w:bookmarkEnd w:id="540"/>
    </w:p>
    <w:p w14:paraId="20D64B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541" w:name="_Toc296346647"/>
      <w:bookmarkStart w:id="542" w:name="_Toc337558840"/>
      <w:bookmarkStart w:id="543" w:name="_Toc296503146"/>
      <w:bookmarkStart w:id="544" w:name="_Toc522694364"/>
      <w:bookmarkStart w:id="545" w:name="_Toc523252307"/>
      <w:bookmarkStart w:id="546" w:name="_Toc351203626"/>
      <w:bookmarkStart w:id="547" w:name="_Toc300835191"/>
      <w:bookmarkStart w:id="548" w:name="_Toc247514189"/>
      <w:bookmarkStart w:id="549" w:name="_Toc247527790"/>
      <w:r>
        <w:rPr>
          <w:rFonts w:hint="eastAsia" w:ascii="宋体" w:hAnsi="宋体" w:eastAsia="宋体" w:cs="宋体"/>
          <w:color w:val="000000"/>
          <w:sz w:val="24"/>
          <w:szCs w:val="24"/>
        </w:rPr>
        <w:t>21.1 不可抗力的确认</w:t>
      </w:r>
      <w:bookmarkEnd w:id="541"/>
      <w:bookmarkEnd w:id="542"/>
      <w:bookmarkEnd w:id="543"/>
      <w:bookmarkEnd w:id="544"/>
      <w:bookmarkEnd w:id="545"/>
      <w:bookmarkEnd w:id="546"/>
      <w:bookmarkEnd w:id="547"/>
      <w:bookmarkEnd w:id="548"/>
      <w:bookmarkEnd w:id="549"/>
    </w:p>
    <w:p w14:paraId="6AE9F9A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21.1.1 不可抗力是指承包人和发包人在订立合同时不可预见，在履行合同过程中不可避免发生并不能克服的自然灾害和社会性突发事件，如地震、海啸、瘟疫、水灾、骚乱、暴动、战争和专用合同条款约定的其他情形。</w:t>
      </w:r>
    </w:p>
    <w:p w14:paraId="59A098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21.1.2 不可抗力发生后，发包人和承包人应及时认真统计所造成的损失，收集不可抗力造成损失的证据。合同双方对是否属于不可抗力或其损失的意见不一致的，由监理人按第3.5 款商定或确定。发生争议时，按第24条的约定执行。</w:t>
      </w:r>
    </w:p>
    <w:p w14:paraId="5FDD41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550" w:name="_Toc247514190"/>
      <w:bookmarkStart w:id="551" w:name="_Toc300835192"/>
      <w:bookmarkStart w:id="552" w:name="_Toc247527791"/>
      <w:r>
        <w:rPr>
          <w:rFonts w:hint="eastAsia" w:ascii="宋体" w:hAnsi="宋体" w:eastAsia="宋体" w:cs="宋体"/>
          <w:color w:val="000000"/>
          <w:sz w:val="24"/>
          <w:szCs w:val="24"/>
        </w:rPr>
        <w:t>21.2 不可抗力的通知</w:t>
      </w:r>
      <w:bookmarkEnd w:id="550"/>
      <w:bookmarkEnd w:id="551"/>
      <w:bookmarkEnd w:id="552"/>
    </w:p>
    <w:p w14:paraId="558FDA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21.2.1 合同一方当事人遇到不可抗力事件，使其履行合同义务受到阻碍时，应立即通知合同另一方当事人和监理人，书面说明不可抗力和受阻碍的详细情况，并提供必要的证明。</w:t>
      </w:r>
    </w:p>
    <w:p w14:paraId="58025C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6B7387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553" w:name="_Toc247514191"/>
      <w:bookmarkStart w:id="554" w:name="_Toc247527792"/>
      <w:bookmarkStart w:id="555" w:name="_Toc300835193"/>
      <w:r>
        <w:rPr>
          <w:rFonts w:hint="eastAsia" w:ascii="宋体" w:hAnsi="宋体" w:eastAsia="宋体" w:cs="宋体"/>
          <w:color w:val="000000"/>
          <w:sz w:val="24"/>
          <w:szCs w:val="24"/>
        </w:rPr>
        <w:t>21.3 不可抗力后果及其处理</w:t>
      </w:r>
      <w:bookmarkEnd w:id="553"/>
      <w:bookmarkEnd w:id="554"/>
      <w:bookmarkEnd w:id="555"/>
    </w:p>
    <w:p w14:paraId="35F5E88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21.3.1 不可抗力造成损害的责任</w:t>
      </w:r>
    </w:p>
    <w:p w14:paraId="352114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除专用合同条款另有约定外，不可抗力导致的人员伤亡、财产损失、费用增加和（或）工期延误等后果，由合同双方按以下原则承担：</w:t>
      </w:r>
    </w:p>
    <w:p w14:paraId="0CE1AE0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（1）永久工程，包括已运至施工场地的材料和工程设备的损害，以及因工程损害造成的第三者人员伤亡和财产损失由发包人承担；</w:t>
      </w:r>
    </w:p>
    <w:p w14:paraId="262130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（2）承包人设备的损坏由承包人承担；</w:t>
      </w:r>
    </w:p>
    <w:p w14:paraId="3396280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（3）发包人和承包人各自承担其人员伤亡和其他财产损失及相关费用；</w:t>
      </w:r>
    </w:p>
    <w:p w14:paraId="07314B5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（4）承包人的停工损失由承包人承担，但停工期间应监理人要求照管工程和清理、修复工程的金额由发包人承担；</w:t>
      </w:r>
    </w:p>
    <w:p w14:paraId="77593E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（5）不能按期竣工的，应合理延长工期，承包人不需支付逾期竣工违约金。发包人要求赶工的，承包人应采取赶工措施，赶工费用由发包人承担。</w:t>
      </w:r>
    </w:p>
    <w:p w14:paraId="4A11E2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21.3.2 延迟履行期间发生的不可抗力</w:t>
      </w:r>
    </w:p>
    <w:p w14:paraId="75F4EF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合同一方当事人延迟履行，在延迟履行期间发生不可抗力的，不免除其责任。</w:t>
      </w:r>
    </w:p>
    <w:p w14:paraId="4DF5D8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21.3.3 避免和减少不可抗力损失</w:t>
      </w:r>
    </w:p>
    <w:p w14:paraId="22E795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不可抗力发生后，发包人和承包人均应采取措施尽量避免和减少损失的扩大，任何一方没有采取有效措施导致损失扩大的，应对扩大的损失承担责任。</w:t>
      </w:r>
    </w:p>
    <w:p w14:paraId="6C443A3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21.3.4 因不可抗力解除合同</w:t>
      </w:r>
    </w:p>
    <w:p w14:paraId="6DF373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合同一方当事人因不可抗力不能履行合同的，应当及时通知对方解除合同。合同解除后，承包人应按照第22.2.4 项约定撤离施工场地。已经订货的材料、设备由订货方负责退货或解除订货合同，不能退还的货款和因退货、解除订货合同发生的费用，由发包人承担，因未及时退货造成的损失由责任方承担。合同解除后的付款，参照第22.2.3 项约定，由监理人按第3.5 款商定或确定。</w:t>
      </w:r>
    </w:p>
    <w:p w14:paraId="160979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556" w:name="_Toc14767"/>
      <w:bookmarkStart w:id="557" w:name="_Toc79760344"/>
      <w:bookmarkStart w:id="558" w:name="_Toc30875"/>
      <w:r>
        <w:rPr>
          <w:rFonts w:hint="eastAsia" w:ascii="黑体" w:hAnsi="宋体" w:eastAsia="黑体" w:cs="黑体"/>
          <w:color w:val="000000"/>
          <w:sz w:val="28"/>
          <w:szCs w:val="28"/>
        </w:rPr>
        <w:t>22. 违约</w:t>
      </w:r>
      <w:bookmarkEnd w:id="556"/>
      <w:bookmarkEnd w:id="557"/>
      <w:bookmarkEnd w:id="558"/>
    </w:p>
    <w:p w14:paraId="7DB0F9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22.1承包人违约</w:t>
      </w:r>
    </w:p>
    <w:p w14:paraId="50A08E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22.1.1 承包人违约的情形</w:t>
      </w:r>
    </w:p>
    <w:p w14:paraId="1F0F52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559" w:name="_Toc351203632"/>
      <w:r>
        <w:rPr>
          <w:rFonts w:hint="eastAsia" w:ascii="宋体" w:hAnsi="宋体" w:eastAsia="宋体" w:cs="宋体"/>
          <w:color w:val="000000"/>
          <w:sz w:val="24"/>
          <w:szCs w:val="24"/>
        </w:rPr>
        <w:t>在履行合同过程中发生的下列情况之一的，属承包人违约：</w:t>
      </w:r>
      <w:bookmarkEnd w:id="559"/>
    </w:p>
    <w:p w14:paraId="1E07FB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（1）承包人的设计、承包人文件、实施和竣工的工程不符合法律以及合同约定；</w:t>
      </w:r>
    </w:p>
    <w:p w14:paraId="555EA0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（2）承包人违反第1.8 款或第4.3 款的约定，私自将合同的全部或部分权利转让给其他人，或私自将合同的全部或部分义务转移给其他人；</w:t>
      </w:r>
    </w:p>
    <w:p w14:paraId="5A2120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（3）承包人违反第6.3 款或第7.4 款的约定，未经监理人批准，私自将已按合同约定进入施工场地的施工设备、临时设施或材料撤离施工场地；</w:t>
      </w:r>
    </w:p>
    <w:p w14:paraId="72782B2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（4）承包人违反第6.5 款的约定使用了不合格材料或工程设备，工程质量达不到标准要求，又拒绝清除不合格工程；</w:t>
      </w:r>
    </w:p>
    <w:p w14:paraId="5F5057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（5）承包人未能按合同进度计划及时完成合同约定的工作，造成工期延误；</w:t>
      </w:r>
    </w:p>
    <w:p w14:paraId="2B80D2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（6）由于承包人原因未能通过竣工试验或竣工后试验的；</w:t>
      </w:r>
    </w:p>
    <w:p w14:paraId="46191E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（7）承包人在缺陷责任期内，未能对工程接收证书所列的缺陷清单的内容或缺陷责任期内发生的缺陷进行修复，而又拒绝按监理人指示再进行修补；</w:t>
      </w:r>
    </w:p>
    <w:p w14:paraId="733351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（8）承包人无法继续履行或明确表示不履行或实质上已停止履行合同；</w:t>
      </w:r>
    </w:p>
    <w:p w14:paraId="558D6B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（9）承包人不按合同约定履行义务的其他情况。</w:t>
      </w:r>
    </w:p>
    <w:p w14:paraId="2D8D11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22.1.2 对承包人违约的处理</w:t>
      </w:r>
    </w:p>
    <w:p w14:paraId="4EB2CD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（1）承包人发生第22.1.1（6）项目约定的违约情况时，按照发包人要求中的未能通过竣工/竣工后试验的损害进行赔偿。发生延期的，承包人应承担延期责任。</w:t>
      </w:r>
    </w:p>
    <w:p w14:paraId="5FF143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（2）承包人发生第22.1.1（8）项目约定的违约情况时，发包人可通知承包人立即解除合同，并按第22.1.3项、第22.1.4项、第22.1.5项约定处理。</w:t>
      </w:r>
    </w:p>
    <w:p w14:paraId="63708E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521C1D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22.1.3 因承包人违约解除合同</w:t>
      </w:r>
    </w:p>
    <w:p w14:paraId="69D455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31EE3D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22.1.4 发包人发出合同解除通知后的估价、付款和结清</w:t>
      </w:r>
    </w:p>
    <w:p w14:paraId="6AEF53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743DC3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（2）发包人发出解除合同通知后，发包人有权暂停对承包人的一切付款，查清各项付款和已扣款金额，包括承包人应支付的违约金。</w:t>
      </w:r>
    </w:p>
    <w:p w14:paraId="670561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（3）发包人发出解除合同通知后，发包人有权按第23.4 款的约定向承包人索赔由于解除合同给发包人造成的损失。</w:t>
      </w:r>
    </w:p>
    <w:p w14:paraId="1401EB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（4）合同双方确认合同价款后，发包人颁发最终结清付款证书，并结清全部合同款项。</w:t>
      </w:r>
    </w:p>
    <w:p w14:paraId="131CCC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（5）发包人和承包人未能就解除合同后的结清达成一致而形成争议的，按第24条的约定执行。</w:t>
      </w:r>
    </w:p>
    <w:p w14:paraId="2D5ABC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22.1.5 协议利益的转让</w:t>
      </w:r>
    </w:p>
    <w:p w14:paraId="21BF78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1B9B73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22.1.6 紧急情况下无能力或不愿进行抢救</w:t>
      </w:r>
    </w:p>
    <w:p w14:paraId="1390E41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C7D45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22.2发包人违约</w:t>
      </w:r>
    </w:p>
    <w:p w14:paraId="631538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22.2.1 发包人违约的情形</w:t>
      </w:r>
    </w:p>
    <w:p w14:paraId="056C9C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在履行合同过程中发生下列情形之一的，属发包人违约：</w:t>
      </w:r>
    </w:p>
    <w:p w14:paraId="3F8609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（1）发包人未能按合同约定支付价款，或拖延、拒绝批准付款申请和支付凭证，导致付款延误；</w:t>
      </w:r>
    </w:p>
    <w:p w14:paraId="24D2F3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（2）发包人原因造成停工；</w:t>
      </w:r>
    </w:p>
    <w:p w14:paraId="6D6446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（3）监理人无正当理由没有在约定期限内发出复工指示，导致承包人无法复工；</w:t>
      </w:r>
    </w:p>
    <w:p w14:paraId="46FE8F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（4）发包人无法继续履行或明确表示不履行或实质上已停止履行合同；</w:t>
      </w:r>
    </w:p>
    <w:p w14:paraId="47568F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（5）发包人不履行合同约定的其他义务。</w:t>
      </w:r>
    </w:p>
    <w:p w14:paraId="12C02BF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22.2.2 因发包人违约解除合同</w:t>
      </w:r>
    </w:p>
    <w:p w14:paraId="3396E50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（1）发生第22.2.1（4）的违约情况时，承包人可书面通知发包人解除合同。</w:t>
      </w:r>
    </w:p>
    <w:p w14:paraId="2CF58D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396D29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22.2.3 解除合同后的付款</w:t>
      </w:r>
    </w:p>
    <w:p w14:paraId="1DA43E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因发包人违约解除合同的，发包人应在解除合同后28天内向承包人支付下列款项，承包人应在此期限内及时向发包人提交要求支付下列金额的有关资料和凭证：</w:t>
      </w:r>
    </w:p>
    <w:p w14:paraId="70FA29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（1）承包人发出解除合同通知前所完成工作的价款；</w:t>
      </w:r>
    </w:p>
    <w:p w14:paraId="4E6E6BE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（2）承包人为该工程施工订购并已付款的材料、工程设备和其他物品的金额。发包人付款后，该材料、工程设备和其他物品归发包人所有；</w:t>
      </w:r>
    </w:p>
    <w:p w14:paraId="426C905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（3）承包人为完成工程所发生的，而发包人未支付的金额；</w:t>
      </w:r>
    </w:p>
    <w:p w14:paraId="23306C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（4）承包人撤离施工场地以及遣散承包人人员的金额；</w:t>
      </w:r>
    </w:p>
    <w:p w14:paraId="0ECF8C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（5）因解除合同造成的承包人损失；</w:t>
      </w:r>
    </w:p>
    <w:p w14:paraId="30B03A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（6）按合同约定在承包人发出解除合同通知前应支付给承包人的其他金额。</w:t>
      </w:r>
    </w:p>
    <w:p w14:paraId="7DC01A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发包人应按本项约定支付上述金额并退还质量保证金和履约担保，但有权要求承包人支付应偿还给发包人的各项金额。</w:t>
      </w:r>
    </w:p>
    <w:p w14:paraId="21F823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22.2.4 解除合同后的承包人撤离</w:t>
      </w:r>
    </w:p>
    <w:p w14:paraId="6A1F90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因发包人违约而解除合同后，承包人应妥善处理正在施工的工程和已购材料、设备的保护和移交工作，并按发包人的要求将承包人设备和人员撤出施工场地。承包人撤出施工场地应遵守第18.7.1 项的约定，发包人应为承包人撤出提供必要条件并办理移交手续。</w:t>
      </w:r>
    </w:p>
    <w:p w14:paraId="4F8C55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22.3第三人造成的违约</w:t>
      </w:r>
    </w:p>
    <w:p w14:paraId="40FAD6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在履行合同过程中，一方当事人因第三人的原因造成违约的，应当向对方当事人承担违约责任。一方当事人和第三人之间的纠纷，依照法律规定或者按照约定解决。</w:t>
      </w:r>
    </w:p>
    <w:p w14:paraId="2966C6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560" w:name="_Toc79760345"/>
      <w:bookmarkStart w:id="561" w:name="_Toc6793"/>
      <w:bookmarkStart w:id="562" w:name="_Toc22380"/>
      <w:r>
        <w:rPr>
          <w:rFonts w:hint="eastAsia" w:ascii="黑体" w:hAnsi="宋体" w:eastAsia="黑体" w:cs="黑体"/>
          <w:color w:val="000000"/>
          <w:sz w:val="28"/>
          <w:szCs w:val="28"/>
        </w:rPr>
        <w:t>23. 索赔</w:t>
      </w:r>
      <w:bookmarkEnd w:id="560"/>
      <w:bookmarkEnd w:id="561"/>
      <w:bookmarkEnd w:id="562"/>
    </w:p>
    <w:p w14:paraId="759BB1F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23.1承包人索赔的提出</w:t>
      </w:r>
    </w:p>
    <w:p w14:paraId="509B5A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根据合同约定，承包人认为有权得到追加付款和（或）延长工期的，应按以下程序向发包人提出索赔：</w:t>
      </w:r>
    </w:p>
    <w:p w14:paraId="7A2272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1B004E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（2）承包人应在发出索赔意向通知书后28天内，向监理人正式递交索赔通知书。索赔通知书应详细说明索赔理由以及要求追加的付款金额和（或）延长的工期，并附必要的记录和证明材料；</w:t>
      </w:r>
    </w:p>
    <w:p w14:paraId="171FEF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（3）索赔事件具有连续影响的，承包人应按合理时间间隔继续递交延续索赔通知，说明连续影响的实际情况和记录，列出累计的追加付款金额和（或）工期延长天数；</w:t>
      </w:r>
    </w:p>
    <w:p w14:paraId="71FAFA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（4）在索赔事件影响结束后的28 天内，承包人应向监理人递交最终索赔通知书，说明最终要求索赔的追加付款金额和延长的工期，并附必要的记录和证明材料。</w:t>
      </w:r>
    </w:p>
    <w:p w14:paraId="10EEBA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23.2承包人索赔处理程序</w:t>
      </w:r>
    </w:p>
    <w:p w14:paraId="5B643F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（1）监理人收到承包人提交的索赔通知书后，应及时审查索赔通知书的内容、查验承包人的记录和证明材料，必要时监理人可要求承包人提交全部原始记录副本。</w:t>
      </w:r>
    </w:p>
    <w:p w14:paraId="32E693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1BF1A1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（3）承包人接受索赔处理结果的，发包人应在作出索赔处理结果答复后28 天内完成赔付。承包人不接受索赔处理结果的，按第24条的约定执行。</w:t>
      </w:r>
    </w:p>
    <w:p w14:paraId="1262F6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23.3承包人提出索赔的期限</w:t>
      </w:r>
    </w:p>
    <w:p w14:paraId="22A1450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23.3.1 承包人按第17.5 款的约定接受了竣工付款证书后，应被认为已无权再提出在合同工程接收证书颁发前所发生的任何索赔。</w:t>
      </w:r>
    </w:p>
    <w:p w14:paraId="44D5054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23.3.2 承包人按第17.6 款的约定提交的最终结清申请单中，只限于提出工程接收证书颁发后发生的索赔。提出索赔的期限自接受最终结清证书时终止。</w:t>
      </w:r>
    </w:p>
    <w:p w14:paraId="0ABE6A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23.4发包人的索赔</w:t>
      </w:r>
    </w:p>
    <w:p w14:paraId="714A33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23.4.1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 款的约定相同，要求延长缺陷责任期的通知应在缺陷责任期届满前发出。</w:t>
      </w:r>
    </w:p>
    <w:p w14:paraId="330244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23.4.2 发包人按第3.5 款商定或确定发包人从承包人处得到赔付的金额和（或）缺陷责任期的延长期。承包人应付给发包人的金额可从拟支付给承包人的合同价款中扣除，或由承包人以其他方式支付给发包人。</w:t>
      </w:r>
    </w:p>
    <w:p w14:paraId="0FDE1F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563" w:name="_Toc19895"/>
      <w:bookmarkStart w:id="564" w:name="_Toc79760346"/>
      <w:bookmarkStart w:id="565" w:name="_Toc1563"/>
      <w:r>
        <w:rPr>
          <w:rFonts w:hint="eastAsia" w:ascii="黑体" w:hAnsi="宋体" w:eastAsia="黑体" w:cs="黑体"/>
          <w:color w:val="000000"/>
          <w:sz w:val="28"/>
          <w:szCs w:val="28"/>
        </w:rPr>
        <w:t>24. 争议的解决</w:t>
      </w:r>
      <w:bookmarkEnd w:id="563"/>
      <w:bookmarkEnd w:id="564"/>
      <w:bookmarkEnd w:id="565"/>
    </w:p>
    <w:p w14:paraId="67DFB3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24.1争议的解决方式</w:t>
      </w:r>
    </w:p>
    <w:p w14:paraId="360571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7DA424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（1）向约定的仲裁委员会申请仲裁；</w:t>
      </w:r>
    </w:p>
    <w:p w14:paraId="794603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（2）向有管辖权的人民法院提起诉讼。</w:t>
      </w:r>
    </w:p>
    <w:p w14:paraId="199972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24.2友好解决</w:t>
      </w:r>
    </w:p>
    <w:p w14:paraId="71BEFE0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在提请争议评审、仲裁或者诉讼前，以及在争议评审、仲裁或诉讼过程中，发包人和承包人均可共同努力友好协商解决争议。</w:t>
      </w:r>
    </w:p>
    <w:p w14:paraId="2C81E3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66" w:name="_Toc79760347"/>
      <w:r>
        <w:rPr>
          <w:rFonts w:hint="eastAsia" w:ascii="宋体" w:hAnsi="宋体" w:eastAsia="宋体" w:cs="宋体"/>
          <w:color w:val="000000"/>
          <w:sz w:val="24"/>
          <w:szCs w:val="24"/>
        </w:rPr>
        <w:t>24.3争议评审</w:t>
      </w:r>
      <w:bookmarkEnd w:id="566"/>
    </w:p>
    <w:p w14:paraId="512E382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67" w:name="_Toc79760348"/>
      <w:r>
        <w:rPr>
          <w:rFonts w:hint="eastAsia" w:ascii="宋体" w:hAnsi="宋体" w:eastAsia="宋体" w:cs="宋体"/>
          <w:color w:val="000000"/>
          <w:sz w:val="24"/>
          <w:szCs w:val="24"/>
        </w:rPr>
        <w:t>24.3.1 采用争议评审的，发包人和承包人应在开工日后的28天内或在争议发生后，协商成立争议评审组。争议评审组由有合同管理和工程实践经验的专家组成。</w:t>
      </w:r>
      <w:bookmarkEnd w:id="567"/>
    </w:p>
    <w:p w14:paraId="51469F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24.3.2 合同双方的争议，应首先由申请人向争议评审组提交一份详细的评审申请报告，并附必要的文件、图纸和证明材料，申请人还应将上述报告的副本同时提交给被申请人和监理人。</w:t>
      </w:r>
    </w:p>
    <w:p w14:paraId="3F2ADE2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24.3.3 被申请人在收到申请人评审申请报告副本后的28 天内，向争议评审组提交一份答辩报告，并附证明材料。被申请人应将答辩报告的副本同时提交给申请人和监理人。</w:t>
      </w:r>
    </w:p>
    <w:p w14:paraId="39CCA7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24.3.4 除专用合同条款另有约定外，争议评审组在收到合同双方报告后的14天内，邀请双方代表和有关人员举行调查会，向双方调查争议细节；必要时争议评审组可要求双方进一步提供补充材料。</w:t>
      </w:r>
    </w:p>
    <w:p w14:paraId="3550C6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496390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24.3.6 发包人和承包人接受评审意见的，由监理人根据评审意见拟定执行协议，经争议双方签字后作为合同的补充文件，并遵照执行。</w:t>
      </w:r>
    </w:p>
    <w:p w14:paraId="7C41BB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5EA674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06A491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2DBF1AE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firstLine="400"/>
      </w:pPr>
      <w:r>
        <w:rPr>
          <w:bdr w:val="none" w:color="auto" w:sz="0" w:space="0"/>
        </w:rPr>
        <w:t> </w:t>
      </w:r>
    </w:p>
    <w:p w14:paraId="530EBA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p w14:paraId="464789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10B6F3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7E8834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2F2DF7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6E9AD1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6FAC00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0982FB0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158253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638AD4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76F389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496A8B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7EA88E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53A3B7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6535A86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55E210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6B1889C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380FB29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002036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01C7C96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0D75C6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77185D6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7F546A8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firstLine="400"/>
      </w:pPr>
      <w:r>
        <w:rPr>
          <w:bdr w:val="none" w:color="auto" w:sz="0" w:space="0"/>
        </w:rPr>
        <w:t> </w:t>
      </w:r>
    </w:p>
    <w:p w14:paraId="5FA4DBB1">
      <w:pPr>
        <w:pStyle w:val="2"/>
        <w:keepNext w:val="0"/>
        <w:keepLines w:val="0"/>
        <w:pageBreakBefore/>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jc w:val="center"/>
      </w:pPr>
      <w:bookmarkStart w:id="568" w:name="_Toc32411"/>
      <w:bookmarkStart w:id="569" w:name="_Toc7746"/>
      <w:bookmarkStart w:id="570" w:name="_Toc2280"/>
      <w:bookmarkStart w:id="571" w:name="_Toc1333"/>
      <w:bookmarkStart w:id="572" w:name="_Toc79760349"/>
      <w:bookmarkStart w:id="573" w:name="_Toc4067"/>
      <w:bookmarkStart w:id="574" w:name="_Toc12878"/>
      <w:bookmarkStart w:id="575" w:name="_Toc18323"/>
      <w:bookmarkStart w:id="576" w:name="_Toc12704"/>
      <w:bookmarkStart w:id="577" w:name="_Toc803"/>
      <w:r>
        <w:rPr>
          <w:rFonts w:hint="eastAsia" w:ascii="黑体" w:hAnsi="宋体" w:eastAsia="黑体" w:cs="黑体"/>
          <w:b/>
          <w:bCs/>
          <w:color w:val="000000"/>
          <w:sz w:val="32"/>
          <w:szCs w:val="32"/>
        </w:rPr>
        <w:t>第二节 专用合同条款</w:t>
      </w:r>
      <w:bookmarkEnd w:id="568"/>
      <w:bookmarkEnd w:id="569"/>
      <w:bookmarkEnd w:id="570"/>
      <w:bookmarkEnd w:id="571"/>
      <w:bookmarkEnd w:id="572"/>
      <w:bookmarkEnd w:id="573"/>
      <w:bookmarkEnd w:id="574"/>
      <w:bookmarkEnd w:id="575"/>
      <w:bookmarkEnd w:id="576"/>
      <w:bookmarkEnd w:id="577"/>
    </w:p>
    <w:p w14:paraId="4159177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专用合同条款是对通用合同的补充、修改，两者应对照阅读，一旦出现矛盾或不一致，则以专用合同条款为准，通用合同条款中未补充和修改的部分仍有效。专用条款中未明确的部分在签订合同协议书时由发包人和承包人协商确定。专用合同条款中若有引用国家、行业相关规范、规程等标准时，当所引用的标准更新时，按照最新标准执行。</w:t>
      </w:r>
    </w:p>
    <w:p w14:paraId="294220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578" w:name="_Toc9340"/>
      <w:bookmarkStart w:id="579" w:name="_Toc67789006"/>
      <w:bookmarkStart w:id="580" w:name="_Toc31430"/>
      <w:bookmarkStart w:id="581" w:name="_Toc5538"/>
      <w:bookmarkStart w:id="582" w:name="_Toc26637"/>
      <w:bookmarkStart w:id="583" w:name="_Toc30994"/>
      <w:bookmarkStart w:id="584" w:name="_Toc79760350"/>
      <w:bookmarkStart w:id="585" w:name="_Toc27790"/>
      <w:bookmarkStart w:id="586" w:name="_Toc5974"/>
      <w:bookmarkStart w:id="587" w:name="_Toc9016"/>
      <w:r>
        <w:rPr>
          <w:rFonts w:hint="eastAsia" w:ascii="黑体" w:hAnsi="宋体" w:eastAsia="黑体" w:cs="黑体"/>
          <w:color w:val="000000"/>
          <w:sz w:val="28"/>
          <w:szCs w:val="28"/>
        </w:rPr>
        <w:t>1．一般约定</w:t>
      </w:r>
      <w:bookmarkEnd w:id="578"/>
      <w:bookmarkEnd w:id="579"/>
      <w:bookmarkEnd w:id="580"/>
      <w:bookmarkEnd w:id="581"/>
      <w:bookmarkEnd w:id="582"/>
      <w:bookmarkEnd w:id="583"/>
      <w:bookmarkEnd w:id="584"/>
      <w:bookmarkEnd w:id="585"/>
      <w:bookmarkEnd w:id="586"/>
      <w:bookmarkEnd w:id="587"/>
    </w:p>
    <w:p w14:paraId="63025D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88" w:name="_Toc79760351"/>
      <w:bookmarkStart w:id="589" w:name="_Toc22641"/>
      <w:r>
        <w:rPr>
          <w:rFonts w:hint="eastAsia" w:ascii="宋体" w:hAnsi="宋体" w:eastAsia="宋体" w:cs="宋体"/>
          <w:color w:val="000000"/>
          <w:sz w:val="24"/>
          <w:szCs w:val="24"/>
        </w:rPr>
        <w:t>1.1 词语定义</w:t>
      </w:r>
      <w:bookmarkEnd w:id="588"/>
      <w:bookmarkEnd w:id="589"/>
    </w:p>
    <w:p w14:paraId="6D39D48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 合同当事人和人员</w:t>
      </w:r>
    </w:p>
    <w:p w14:paraId="7BFFEE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1.1.2.2 发包人：</w:t>
      </w:r>
    </w:p>
    <w:p w14:paraId="53F918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1.1.2.3 承包人：  </w:t>
      </w:r>
      <w:r>
        <w:rPr>
          <w:rFonts w:hint="eastAsia" w:ascii="宋体" w:hAnsi="宋体" w:eastAsia="宋体" w:cs="宋体"/>
          <w:color w:val="000000"/>
          <w:sz w:val="24"/>
          <w:szCs w:val="24"/>
          <w:u w:val="single"/>
        </w:rPr>
        <w:t xml:space="preserve">                  </w:t>
      </w:r>
    </w:p>
    <w:p w14:paraId="3FBC67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1.1.2.9 监理人：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（若此处未填写，发包人将在开工前书面通知承包人）。</w:t>
      </w:r>
    </w:p>
    <w:p w14:paraId="012B17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 工程和设备</w:t>
      </w:r>
    </w:p>
    <w:p w14:paraId="6637FCC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1.1.3.4 区段工程：</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3E54B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1.1.3.10 永久占地：</w:t>
      </w:r>
      <w:r>
        <w:rPr>
          <w:rFonts w:hint="eastAsia" w:ascii="宋体" w:hAnsi="宋体" w:eastAsia="宋体" w:cs="宋体"/>
          <w:color w:val="000000"/>
          <w:sz w:val="24"/>
          <w:szCs w:val="24"/>
          <w:u w:val="single"/>
        </w:rPr>
        <w:t xml:space="preserve">                       。   </w:t>
      </w:r>
    </w:p>
    <w:p w14:paraId="1228BC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1.1.3.11 临时占地：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w:t>
      </w:r>
    </w:p>
    <w:p w14:paraId="4272A5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 日期、检验和竣工</w:t>
      </w:r>
    </w:p>
    <w:p w14:paraId="12A05E1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1.1.4.5 缺陷责任期：即工程质量保修期，指履行第19.2款约定的缺陷责任的期限，包括根据第19.3款约定所作的延长，具体期限为</w:t>
      </w:r>
      <w:r>
        <w:rPr>
          <w:rFonts w:hint="eastAsia" w:ascii="宋体" w:hAnsi="宋体" w:eastAsia="宋体" w:cs="宋体"/>
          <w:color w:val="000000"/>
          <w:sz w:val="24"/>
          <w:szCs w:val="24"/>
          <w:u w:val="single"/>
        </w:rPr>
        <w:t>工程接收证书签发之日起12个月</w:t>
      </w:r>
      <w:r>
        <w:rPr>
          <w:rFonts w:hint="eastAsia" w:ascii="宋体" w:hAnsi="宋体" w:eastAsia="宋体" w:cs="宋体"/>
          <w:color w:val="000000"/>
          <w:sz w:val="24"/>
          <w:szCs w:val="24"/>
        </w:rPr>
        <w:t>。</w:t>
      </w:r>
    </w:p>
    <w:p w14:paraId="034E1D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1.1.6 其他</w:t>
      </w:r>
    </w:p>
    <w:p w14:paraId="063634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（1）光</w:t>
      </w:r>
      <w:r>
        <w:rPr>
          <w:rFonts w:hint="default" w:ascii="Calibri" w:hAnsi="Calibri" w:cs="Calibri"/>
          <w:color w:val="000000"/>
          <w:sz w:val="24"/>
          <w:szCs w:val="24"/>
        </w:rPr>
        <w:t>伏项目“单位工程验收”“启动验收”“试运和移交生产验收”“竣工验收”按照《光伏发电工程验收规范》（GB/T 50796-2012）、GB/T 39854-2021《光伏发电站性能评估技术规范》和GB/T 39857-2021《光伏发电效率技术规范》规定以及发包人对本项目竣工验收的要求执行。</w:t>
      </w:r>
    </w:p>
    <w:p w14:paraId="4E922D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90" w:name="_Toc79760352"/>
      <w:bookmarkStart w:id="591" w:name="_Toc9849"/>
      <w:r>
        <w:rPr>
          <w:rFonts w:hint="eastAsia" w:ascii="宋体" w:hAnsi="宋体" w:eastAsia="宋体" w:cs="宋体"/>
          <w:color w:val="000000"/>
          <w:sz w:val="24"/>
          <w:szCs w:val="24"/>
        </w:rPr>
        <w:t>1.4 合同文件的优先顺序</w:t>
      </w:r>
      <w:bookmarkEnd w:id="590"/>
      <w:bookmarkEnd w:id="591"/>
    </w:p>
    <w:p w14:paraId="291380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组成合同的各项文件应互相解释，互为说明。解释合同文件的优先顺序如下：</w:t>
      </w:r>
    </w:p>
    <w:p w14:paraId="307CE7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92" w:name="_Hlk95221961"/>
      <w:r>
        <w:rPr>
          <w:rFonts w:hint="eastAsia" w:ascii="宋体" w:hAnsi="宋体" w:eastAsia="宋体" w:cs="宋体"/>
          <w:color w:val="000000"/>
          <w:sz w:val="24"/>
          <w:szCs w:val="24"/>
        </w:rPr>
        <w:t>（1）合同协议书；</w:t>
      </w:r>
      <w:bookmarkEnd w:id="592"/>
    </w:p>
    <w:p w14:paraId="4FB390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（2）中标通知书；</w:t>
      </w:r>
    </w:p>
    <w:p w14:paraId="356130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（3）专用合同条款；</w:t>
      </w:r>
    </w:p>
    <w:p w14:paraId="2E05C7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（4）通用合同条款；</w:t>
      </w:r>
    </w:p>
    <w:p w14:paraId="4D0EC27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（5）技术标准和要求；</w:t>
      </w:r>
    </w:p>
    <w:p w14:paraId="7EA154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（6）图纸； </w:t>
      </w:r>
    </w:p>
    <w:p w14:paraId="7A4420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（7）价格清单；</w:t>
      </w:r>
    </w:p>
    <w:p w14:paraId="5CD4CC9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（8）【  】</w:t>
      </w:r>
      <w:r>
        <w:rPr>
          <w:rFonts w:hint="eastAsia" w:ascii="宋体" w:hAnsi="宋体" w:eastAsia="宋体" w:cs="宋体"/>
          <w:color w:val="0000FF"/>
          <w:sz w:val="24"/>
          <w:szCs w:val="24"/>
          <w:shd w:val="clear" w:fill="FFFF00"/>
        </w:rPr>
        <w:t>可研报告</w:t>
      </w:r>
      <w:r>
        <w:rPr>
          <w:rFonts w:hint="eastAsia" w:ascii="宋体" w:hAnsi="宋体" w:eastAsia="宋体" w:cs="宋体"/>
          <w:color w:val="000000"/>
          <w:sz w:val="24"/>
          <w:szCs w:val="24"/>
        </w:rPr>
        <w:t>（终版）；</w:t>
      </w:r>
    </w:p>
    <w:p w14:paraId="459261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（9）投标文件；</w:t>
      </w:r>
    </w:p>
    <w:p w14:paraId="0FB05E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（10）招标文件；</w:t>
      </w:r>
    </w:p>
    <w:p w14:paraId="4BC6E6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（11）其他合同文件。</w:t>
      </w:r>
    </w:p>
    <w:p w14:paraId="215AC1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93" w:name="_Toc1340"/>
      <w:bookmarkStart w:id="594" w:name="_Toc79760353"/>
      <w:r>
        <w:rPr>
          <w:rFonts w:hint="eastAsia" w:ascii="宋体" w:hAnsi="宋体" w:eastAsia="宋体" w:cs="宋体"/>
          <w:color w:val="000000"/>
          <w:sz w:val="24"/>
          <w:szCs w:val="24"/>
        </w:rPr>
        <w:t>1.6 文件的提供和照管</w:t>
      </w:r>
      <w:bookmarkEnd w:id="593"/>
      <w:bookmarkEnd w:id="594"/>
    </w:p>
    <w:p w14:paraId="0471BCF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1.6.1 承包人文件的提供</w:t>
      </w:r>
    </w:p>
    <w:p w14:paraId="09D886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由承包人提供的文件，承包人应在合同签订后7日内提供</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套纸质版文件报送监理人，监理人应在合理期限内批复。承包人的设计文件的提供和审查按第5.3款和第5.5款的约定执行。</w:t>
      </w:r>
    </w:p>
    <w:p w14:paraId="60215B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1.6.2 发包人提供的文件</w:t>
      </w:r>
    </w:p>
    <w:p w14:paraId="70B804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发包人提供的文件</w:t>
      </w:r>
      <w:r>
        <w:rPr>
          <w:rFonts w:hint="default" w:ascii="Calibri" w:hAnsi="Calibri" w:cs="Calibri"/>
          <w:color w:val="000000"/>
          <w:sz w:val="24"/>
          <w:szCs w:val="24"/>
          <w:u w:val="single"/>
        </w:rPr>
        <w:t xml:space="preserve">            另行通知                    </w:t>
      </w:r>
      <w:r>
        <w:rPr>
          <w:rFonts w:hint="default" w:ascii="Calibri" w:hAnsi="Calibri" w:cs="Calibri"/>
          <w:color w:val="000000"/>
          <w:sz w:val="24"/>
          <w:szCs w:val="24"/>
        </w:rPr>
        <w:t>。</w:t>
      </w:r>
    </w:p>
    <w:p w14:paraId="2694CF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595" w:name="_Toc79760354"/>
      <w:r>
        <w:rPr>
          <w:rFonts w:hint="eastAsia" w:ascii="宋体" w:hAnsi="宋体" w:eastAsia="宋体" w:cs="宋体"/>
          <w:color w:val="000000"/>
          <w:sz w:val="24"/>
          <w:szCs w:val="24"/>
        </w:rPr>
        <w:t>1.13 发包人要求中的错误</w:t>
      </w:r>
      <w:bookmarkEnd w:id="595"/>
    </w:p>
    <w:p w14:paraId="07C5A0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执行通用条款“1.13发包人要求中的错误（B）”；同时将“1.13.3 ”全部内容修改如下：发包人只对自身提供的原始数据和资料、新增功能和项目、新增提出的超国家或行业标准试验和检验标准导致承包人增加的费用和（或）延误的工期负责；其他为完成本工程的设计和施工所需的数据和资料，由承包人核实取得并承担责任。</w:t>
      </w:r>
    </w:p>
    <w:p w14:paraId="34D170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596" w:name="_Toc25705"/>
      <w:bookmarkStart w:id="597" w:name="_Toc79760355"/>
      <w:bookmarkStart w:id="598" w:name="_Toc20628"/>
      <w:bookmarkStart w:id="599" w:name="_Toc30908"/>
      <w:bookmarkStart w:id="600" w:name="_Toc4910"/>
      <w:bookmarkStart w:id="601" w:name="_Toc4403"/>
      <w:bookmarkStart w:id="602" w:name="_Toc3755"/>
      <w:bookmarkStart w:id="603" w:name="_Toc67789007"/>
      <w:bookmarkStart w:id="604" w:name="_Toc12661"/>
      <w:bookmarkStart w:id="605" w:name="_Toc31024"/>
      <w:r>
        <w:rPr>
          <w:rFonts w:hint="eastAsia" w:ascii="黑体" w:hAnsi="宋体" w:eastAsia="黑体" w:cs="黑体"/>
          <w:color w:val="000000"/>
          <w:sz w:val="28"/>
          <w:szCs w:val="28"/>
        </w:rPr>
        <w:t>2．发包人义务</w:t>
      </w:r>
      <w:bookmarkEnd w:id="596"/>
      <w:bookmarkEnd w:id="597"/>
      <w:bookmarkEnd w:id="598"/>
      <w:bookmarkEnd w:id="599"/>
      <w:bookmarkEnd w:id="600"/>
      <w:bookmarkEnd w:id="601"/>
      <w:bookmarkEnd w:id="602"/>
      <w:bookmarkEnd w:id="603"/>
      <w:bookmarkEnd w:id="604"/>
      <w:bookmarkEnd w:id="605"/>
    </w:p>
    <w:p w14:paraId="17190D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06" w:name="_Toc21285"/>
      <w:bookmarkStart w:id="607" w:name="_Toc79760356"/>
      <w:r>
        <w:rPr>
          <w:rFonts w:hint="eastAsia" w:ascii="宋体" w:hAnsi="宋体" w:eastAsia="宋体" w:cs="宋体"/>
          <w:color w:val="000000"/>
          <w:sz w:val="24"/>
          <w:szCs w:val="24"/>
        </w:rPr>
        <w:t>2.1 提供施工场地</w:t>
      </w:r>
      <w:bookmarkEnd w:id="606"/>
      <w:bookmarkEnd w:id="607"/>
    </w:p>
    <w:p w14:paraId="0037E9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提供施工场地及进场施工条件 ：</w:t>
      </w:r>
      <w:r>
        <w:rPr>
          <w:rFonts w:hint="default" w:ascii="Calibri" w:hAnsi="Calibri" w:cs="Calibri"/>
          <w:color w:val="000000"/>
          <w:sz w:val="24"/>
          <w:szCs w:val="24"/>
          <w:u w:val="single"/>
        </w:rPr>
        <w:t xml:space="preserve">                                                 </w:t>
      </w:r>
      <w:r>
        <w:rPr>
          <w:rFonts w:hint="default" w:ascii="Calibri" w:hAnsi="Calibri" w:cs="Calibri"/>
          <w:color w:val="000000"/>
          <w:sz w:val="24"/>
          <w:szCs w:val="24"/>
        </w:rPr>
        <w:t>。</w:t>
      </w:r>
    </w:p>
    <w:p w14:paraId="107844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2.5 支付合同价款</w:t>
      </w:r>
    </w:p>
    <w:p w14:paraId="00CA665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【注：发包人不就工程款支付提供担保。】</w:t>
      </w:r>
    </w:p>
    <w:p w14:paraId="6F72C7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608" w:name="_Toc23947"/>
      <w:bookmarkStart w:id="609" w:name="_Toc17042"/>
      <w:bookmarkStart w:id="610" w:name="_Toc13263"/>
      <w:bookmarkStart w:id="611" w:name="_Toc9960"/>
      <w:bookmarkStart w:id="612" w:name="_Toc20450"/>
      <w:bookmarkStart w:id="613" w:name="_Toc23943"/>
      <w:bookmarkStart w:id="614" w:name="_Toc67789008"/>
      <w:bookmarkStart w:id="615" w:name="_Toc24269"/>
      <w:bookmarkStart w:id="616" w:name="_Toc15408"/>
      <w:r>
        <w:rPr>
          <w:rFonts w:hint="eastAsia" w:ascii="黑体" w:hAnsi="宋体" w:eastAsia="黑体" w:cs="黑体"/>
          <w:color w:val="000000"/>
          <w:sz w:val="28"/>
          <w:szCs w:val="28"/>
        </w:rPr>
        <w:t>3．监理人</w:t>
      </w:r>
      <w:bookmarkEnd w:id="608"/>
      <w:bookmarkEnd w:id="609"/>
      <w:bookmarkEnd w:id="610"/>
      <w:bookmarkEnd w:id="611"/>
      <w:bookmarkEnd w:id="612"/>
      <w:bookmarkEnd w:id="613"/>
      <w:bookmarkEnd w:id="614"/>
      <w:bookmarkEnd w:id="615"/>
      <w:bookmarkEnd w:id="616"/>
    </w:p>
    <w:p w14:paraId="2F5F90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17" w:name="_Toc15691"/>
      <w:bookmarkStart w:id="618" w:name="_Toc79760357"/>
      <w:r>
        <w:rPr>
          <w:rFonts w:hint="eastAsia" w:ascii="宋体" w:hAnsi="宋体" w:eastAsia="宋体" w:cs="宋体"/>
          <w:color w:val="000000"/>
          <w:sz w:val="24"/>
          <w:szCs w:val="24"/>
        </w:rPr>
        <w:t>3.1 监理人的职责和权利</w:t>
      </w:r>
      <w:bookmarkEnd w:id="617"/>
      <w:bookmarkEnd w:id="618"/>
    </w:p>
    <w:p w14:paraId="6F6918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3.1.1 需要取得发包人批准才能行使的职权：</w:t>
      </w:r>
      <w:r>
        <w:rPr>
          <w:rFonts w:hint="eastAsia" w:ascii="宋体" w:hAnsi="宋体" w:eastAsia="宋体" w:cs="宋体"/>
          <w:color w:val="000000"/>
          <w:sz w:val="24"/>
          <w:szCs w:val="24"/>
          <w:u w:val="single"/>
        </w:rPr>
        <w:t>（1）工程施工中的经济索赔；（2）调整工期；（3）重大质量事故的处理；（4）开工和停工令；（5）现场签证和设计变更可能引起的投资变化的确认；（6）其他根据发包人与监理人签订的《监理合同》约定的监理人需要取得发包人批准才能行使的职权。</w:t>
      </w:r>
    </w:p>
    <w:p w14:paraId="723B5D8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u w:val="single"/>
        </w:rPr>
        <w:t>当监理人认为出现了可能危及生命或造成财产损失等紧急事件时，在不免除合同规定的承包人责任的情况下，监理人可以指示承包人实施为消除或降低这种风险所必需的工作，即使没有发包人的事先批准，承包人也应立即遵照执行</w:t>
      </w:r>
      <w:r>
        <w:rPr>
          <w:rFonts w:hint="eastAsia" w:ascii="宋体" w:hAnsi="宋体" w:eastAsia="宋体" w:cs="宋体"/>
          <w:color w:val="000000"/>
          <w:sz w:val="24"/>
          <w:szCs w:val="24"/>
        </w:rPr>
        <w:t>。</w:t>
      </w:r>
    </w:p>
    <w:p w14:paraId="4C142D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619" w:name="_Toc23388"/>
      <w:bookmarkStart w:id="620" w:name="_Toc31169"/>
      <w:bookmarkStart w:id="621" w:name="_Toc79760363"/>
      <w:bookmarkStart w:id="622" w:name="_Toc28265"/>
      <w:bookmarkStart w:id="623" w:name="_Toc17861"/>
      <w:bookmarkStart w:id="624" w:name="_Toc10617"/>
      <w:bookmarkStart w:id="625" w:name="_Toc67789010"/>
      <w:bookmarkStart w:id="626" w:name="_Toc28384"/>
      <w:bookmarkStart w:id="627" w:name="_Toc3552"/>
      <w:bookmarkStart w:id="628" w:name="_Toc11047"/>
      <w:bookmarkStart w:id="629" w:name="_Toc25798"/>
      <w:bookmarkStart w:id="630" w:name="_Toc1814"/>
      <w:bookmarkStart w:id="631" w:name="_Toc21707"/>
      <w:bookmarkStart w:id="632" w:name="_Toc18264"/>
      <w:bookmarkStart w:id="633" w:name="_Toc8644"/>
      <w:bookmarkStart w:id="634" w:name="_Toc67789009"/>
      <w:bookmarkStart w:id="635" w:name="_Toc25840"/>
      <w:bookmarkStart w:id="636" w:name="_Toc20004"/>
      <w:bookmarkStart w:id="637" w:name="_Toc31556"/>
      <w:r>
        <w:rPr>
          <w:rFonts w:hint="eastAsia" w:ascii="黑体" w:hAnsi="宋体" w:eastAsia="黑体" w:cs="黑体"/>
          <w:color w:val="000000"/>
          <w:sz w:val="28"/>
          <w:szCs w:val="28"/>
        </w:rPr>
        <w:t>4．承包人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368355D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38" w:name="_Toc4702"/>
      <w:bookmarkStart w:id="639" w:name="_Toc79760358"/>
      <w:r>
        <w:rPr>
          <w:rFonts w:hint="eastAsia" w:ascii="宋体" w:hAnsi="宋体" w:eastAsia="宋体" w:cs="宋体"/>
          <w:color w:val="000000"/>
          <w:sz w:val="24"/>
          <w:szCs w:val="24"/>
        </w:rPr>
        <w:t>4.1 承包人的一般义务</w:t>
      </w:r>
      <w:bookmarkEnd w:id="638"/>
      <w:bookmarkEnd w:id="639"/>
    </w:p>
    <w:p w14:paraId="500C51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4.1.10 其他义务</w:t>
      </w:r>
    </w:p>
    <w:p w14:paraId="7F4712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合同约定的其他义务：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shd w:val="clear" w:fill="FFFF00"/>
        </w:rPr>
        <w:t>（根据实际情况补充）</w:t>
      </w:r>
    </w:p>
    <w:p w14:paraId="28E7610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40" w:name="_Toc79760359"/>
      <w:r>
        <w:rPr>
          <w:rFonts w:hint="eastAsia" w:ascii="宋体" w:hAnsi="宋体" w:eastAsia="宋体" w:cs="宋体"/>
          <w:color w:val="000000"/>
          <w:sz w:val="24"/>
          <w:szCs w:val="24"/>
        </w:rPr>
        <w:t>4.2 履约担保</w:t>
      </w:r>
      <w:bookmarkEnd w:id="640"/>
    </w:p>
    <w:p w14:paraId="0C87E18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641" w:name="_Hlk95223839"/>
      <w:r>
        <w:rPr>
          <w:rFonts w:hint="eastAsia" w:ascii="宋体" w:hAnsi="宋体" w:eastAsia="宋体" w:cs="宋体"/>
          <w:color w:val="000000"/>
          <w:sz w:val="24"/>
          <w:szCs w:val="24"/>
        </w:rPr>
        <w:t>4.2.1适用以下约定：</w:t>
      </w:r>
      <w:bookmarkEnd w:id="641"/>
    </w:p>
    <w:p w14:paraId="3F5CD6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（1）履约担保的金额：【  】，合同签订生效后【  】个工作日内提供。</w:t>
      </w:r>
    </w:p>
    <w:p w14:paraId="5D7E3C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（2）履约担保的形式：银行保</w:t>
      </w:r>
      <w:r>
        <w:rPr>
          <w:rFonts w:hint="default" w:ascii="Calibri" w:hAnsi="Calibri" w:cs="Calibri"/>
          <w:color w:val="000000"/>
          <w:sz w:val="24"/>
          <w:szCs w:val="24"/>
        </w:rPr>
        <w:t>函。</w:t>
      </w:r>
    </w:p>
    <w:p w14:paraId="1FDEF8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Calibri" w:hAnsi="Calibri" w:cs="Calibri"/>
          <w:color w:val="000000"/>
          <w:sz w:val="24"/>
          <w:szCs w:val="24"/>
        </w:rPr>
        <w:t>（3）保函需按照发包人认可的附件保函格式开具（履约保函格式见附件二），保函有效期直至发包人签发工程接收证书且承包人按照合同要求提交了质量保证金或合格的质量保函前一直有效。</w:t>
      </w:r>
    </w:p>
    <w:p w14:paraId="146AAF7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4.2.2关于工程延期情况下履约担保措施的处理，以通用条款约定为准。</w:t>
      </w:r>
    </w:p>
    <w:p w14:paraId="2CD9F3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4.2.3</w:t>
      </w:r>
      <w:r>
        <w:rPr>
          <w:rFonts w:hint="default" w:ascii="Calibri" w:hAnsi="Calibri" w:cs="Calibri"/>
          <w:color w:val="000000"/>
          <w:sz w:val="24"/>
          <w:szCs w:val="24"/>
        </w:rPr>
        <w:t>履约担保的退还：工程移交生产至工程竣工验收期间，发包人根据验收进度，分批次减少履约担保金额，直至承包人取得项目竣工验收证明后，完全退还履约担保（无息）。</w:t>
      </w:r>
    </w:p>
    <w:p w14:paraId="17CE26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42" w:name="_Toc2753"/>
      <w:bookmarkStart w:id="643" w:name="_Toc79760360"/>
      <w:r>
        <w:rPr>
          <w:rFonts w:hint="eastAsia" w:ascii="宋体" w:hAnsi="宋体" w:eastAsia="宋体" w:cs="宋体"/>
          <w:color w:val="000000"/>
          <w:sz w:val="24"/>
          <w:szCs w:val="24"/>
        </w:rPr>
        <w:t>4.3 分包和不得转包</w:t>
      </w:r>
      <w:bookmarkEnd w:id="642"/>
      <w:bookmarkEnd w:id="643"/>
    </w:p>
    <w:p w14:paraId="457EF4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4.3.2 条修改如下：</w:t>
      </w:r>
    </w:p>
    <w:p w14:paraId="383C09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不得将本项目的主体、关键性工作分包给第三人。在不违反法律法规的前提下，承包人可根据项目的具体情况，将非主体、非关键性工作分包给符合资质要求的第三人。为避免异议，本项目的主体、关键性工作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79D730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4.6 承包人人员的管理</w:t>
      </w:r>
    </w:p>
    <w:p w14:paraId="788F93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4.6.5本条修改为：项目经理在岗时间每月不低于25天，承包人的主要施工管理人员离开施工现场连续超过3天的，应事先征得监理人同意。承包人擅自更换项目经理或主要施工管理人员，或前述人员未经监理人许可擅自离开施工现场连续超过3天的，应承担违约责任：项目经理和主要施工管理人员自项目开工到项目移交生产完成前原则上不准离开工地，确有特殊情况需离开工地时，需向发包人现场代表或监理人提出书面申请，发包人现场代表或监理人签字同意后方可离开，并应委派代表代行其职。项目经理和主要</w:t>
      </w:r>
      <w:r>
        <w:rPr>
          <w:rFonts w:hint="eastAsia" w:ascii="宋体" w:hAnsi="宋体" w:eastAsia="宋体" w:cs="宋体"/>
          <w:color w:val="000000"/>
          <w:sz w:val="24"/>
          <w:szCs w:val="24"/>
          <w:u w:val="single"/>
        </w:rPr>
        <w:t>施工管理人离开工地未向发包人现场代表或监理人书面请假并获得批准或无正当理由超假的，分别给予10000元/天、500/天的违约金处罚，从合同单期进度款内扣除，擅自离岗超过5天的清除出场</w:t>
      </w:r>
      <w:r>
        <w:rPr>
          <w:rFonts w:hint="eastAsia" w:ascii="宋体" w:hAnsi="宋体" w:eastAsia="宋体" w:cs="宋体"/>
          <w:color w:val="000000"/>
          <w:sz w:val="24"/>
          <w:szCs w:val="24"/>
        </w:rPr>
        <w:t>。</w:t>
      </w:r>
    </w:p>
    <w:p w14:paraId="05CA87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44" w:name="_Toc5721"/>
      <w:bookmarkStart w:id="645" w:name="_Toc79760361"/>
      <w:r>
        <w:rPr>
          <w:rFonts w:hint="eastAsia" w:ascii="宋体" w:hAnsi="宋体" w:eastAsia="宋体" w:cs="宋体"/>
          <w:color w:val="000000"/>
          <w:sz w:val="24"/>
          <w:szCs w:val="24"/>
        </w:rPr>
        <w:t>4.11 不可预见物质条件</w:t>
      </w:r>
      <w:bookmarkEnd w:id="644"/>
      <w:bookmarkEnd w:id="645"/>
    </w:p>
    <w:p w14:paraId="16A57F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不可预见的困难和费用：执行通用条款“不可预见的困难和费用（B）”。</w:t>
      </w:r>
    </w:p>
    <w:p w14:paraId="3034DAA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46" w:name="_Toc79760362"/>
      <w:bookmarkStart w:id="647" w:name="_Toc2811"/>
      <w:r>
        <w:rPr>
          <w:rFonts w:hint="eastAsia" w:ascii="宋体" w:hAnsi="宋体" w:eastAsia="宋体" w:cs="宋体"/>
          <w:color w:val="000000"/>
          <w:sz w:val="24"/>
          <w:szCs w:val="24"/>
        </w:rPr>
        <w:t>4.12 进度计划</w:t>
      </w:r>
      <w:bookmarkEnd w:id="646"/>
      <w:bookmarkEnd w:id="647"/>
    </w:p>
    <w:p w14:paraId="0B9CD0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4.12.2 合同进度计划的修订</w:t>
      </w:r>
    </w:p>
    <w:p w14:paraId="2EB887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承包人可以在7天内向监理人提交修订合同进度计划的申请报告。监理人应在7天内批复。</w:t>
      </w:r>
    </w:p>
    <w:p w14:paraId="6D3FF9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r>
        <w:rPr>
          <w:rFonts w:hint="eastAsia" w:ascii="黑体" w:hAnsi="宋体" w:eastAsia="黑体" w:cs="黑体"/>
          <w:color w:val="000000"/>
          <w:sz w:val="28"/>
          <w:szCs w:val="28"/>
        </w:rPr>
        <w:t>5．设计</w:t>
      </w:r>
    </w:p>
    <w:p w14:paraId="1F9680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48" w:name="_Toc28296"/>
      <w:r>
        <w:rPr>
          <w:rFonts w:hint="eastAsia" w:ascii="宋体" w:hAnsi="宋体" w:eastAsia="宋体" w:cs="宋体"/>
          <w:color w:val="000000"/>
          <w:sz w:val="24"/>
          <w:szCs w:val="24"/>
        </w:rPr>
        <w:t>5.1 承包人的设计义务</w:t>
      </w:r>
      <w:bookmarkEnd w:id="648"/>
    </w:p>
    <w:p w14:paraId="7232686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5.1.2 法律和标准的变化</w:t>
      </w:r>
    </w:p>
    <w:p w14:paraId="254D26E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基准日之后，前述版本发生重大变化，</w:t>
      </w:r>
      <w:r>
        <w:rPr>
          <w:rFonts w:hint="default" w:ascii="Calibri" w:hAnsi="Calibri" w:cs="Calibri"/>
          <w:color w:val="000000"/>
          <w:sz w:val="24"/>
          <w:szCs w:val="24"/>
        </w:rPr>
        <w:t>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所产生的费用视为已包含在承包人合同风险报价中，合同总价不调整。</w:t>
      </w:r>
    </w:p>
    <w:p w14:paraId="3CC17A4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49" w:name="_Toc10401"/>
      <w:bookmarkStart w:id="650" w:name="_Toc79760364"/>
      <w:r>
        <w:rPr>
          <w:rFonts w:hint="eastAsia" w:ascii="宋体" w:hAnsi="宋体" w:eastAsia="宋体" w:cs="宋体"/>
          <w:color w:val="000000"/>
          <w:sz w:val="24"/>
          <w:szCs w:val="24"/>
        </w:rPr>
        <w:t>5.5 竣工文件</w:t>
      </w:r>
      <w:bookmarkEnd w:id="649"/>
      <w:bookmarkEnd w:id="650"/>
    </w:p>
    <w:p w14:paraId="71708BD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5.5.1 约定提交给监理人份数：</w:t>
      </w:r>
      <w:r>
        <w:rPr>
          <w:rFonts w:hint="eastAsia" w:ascii="宋体" w:hAnsi="宋体" w:eastAsia="宋体" w:cs="宋体"/>
          <w:color w:val="000000"/>
          <w:sz w:val="24"/>
          <w:szCs w:val="24"/>
          <w:u w:val="single"/>
        </w:rPr>
        <w:t xml:space="preserve">    【  】份    </w:t>
      </w:r>
      <w:r>
        <w:rPr>
          <w:rFonts w:hint="eastAsia" w:ascii="宋体" w:hAnsi="宋体" w:eastAsia="宋体" w:cs="宋体"/>
          <w:color w:val="000000"/>
          <w:sz w:val="24"/>
          <w:szCs w:val="24"/>
        </w:rPr>
        <w:t>。</w:t>
      </w:r>
    </w:p>
    <w:p w14:paraId="361658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5.5.2 竣工图纸份数：</w:t>
      </w:r>
      <w:r>
        <w:rPr>
          <w:rFonts w:hint="eastAsia" w:ascii="宋体" w:hAnsi="宋体" w:eastAsia="宋体" w:cs="宋体"/>
          <w:color w:val="000000"/>
          <w:sz w:val="24"/>
          <w:szCs w:val="24"/>
          <w:u w:val="single"/>
        </w:rPr>
        <w:t xml:space="preserve">     【  】份     </w:t>
      </w:r>
      <w:r>
        <w:rPr>
          <w:rFonts w:hint="eastAsia" w:ascii="宋体" w:hAnsi="宋体" w:eastAsia="宋体" w:cs="宋体"/>
          <w:color w:val="000000"/>
          <w:sz w:val="24"/>
          <w:szCs w:val="24"/>
        </w:rPr>
        <w:t>。</w:t>
      </w:r>
    </w:p>
    <w:p w14:paraId="48495C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651" w:name="_Toc243"/>
      <w:bookmarkStart w:id="652" w:name="_Toc29359"/>
      <w:bookmarkStart w:id="653" w:name="_Toc1030"/>
      <w:bookmarkStart w:id="654" w:name="_Toc67789011"/>
      <w:bookmarkStart w:id="655" w:name="_Toc18816"/>
      <w:bookmarkStart w:id="656" w:name="_Toc4384"/>
      <w:bookmarkStart w:id="657" w:name="_Toc19328"/>
      <w:bookmarkStart w:id="658" w:name="_Toc2222"/>
      <w:bookmarkStart w:id="659" w:name="_Toc25529"/>
      <w:r>
        <w:rPr>
          <w:rFonts w:hint="eastAsia" w:ascii="黑体" w:hAnsi="宋体" w:eastAsia="黑体" w:cs="黑体"/>
          <w:color w:val="000000"/>
          <w:sz w:val="28"/>
          <w:szCs w:val="28"/>
        </w:rPr>
        <w:t>6．材料和工程设备</w:t>
      </w:r>
      <w:bookmarkEnd w:id="651"/>
      <w:bookmarkEnd w:id="652"/>
      <w:bookmarkEnd w:id="653"/>
      <w:bookmarkEnd w:id="654"/>
      <w:bookmarkEnd w:id="655"/>
      <w:bookmarkEnd w:id="656"/>
      <w:bookmarkEnd w:id="657"/>
      <w:bookmarkEnd w:id="658"/>
      <w:bookmarkEnd w:id="659"/>
    </w:p>
    <w:p w14:paraId="6D4396D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60" w:name="_Toc28473"/>
      <w:r>
        <w:rPr>
          <w:rFonts w:hint="eastAsia" w:ascii="宋体" w:hAnsi="宋体" w:eastAsia="宋体" w:cs="宋体"/>
          <w:color w:val="000000"/>
          <w:sz w:val="24"/>
          <w:szCs w:val="24"/>
        </w:rPr>
        <w:t>6.2 发包人提供的材料和工程设备</w:t>
      </w:r>
      <w:bookmarkEnd w:id="660"/>
    </w:p>
    <w:p w14:paraId="06189C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发包人提供的材料和工程设备：执行通用条款B。</w:t>
      </w:r>
    </w:p>
    <w:p w14:paraId="35D754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6.5.3 发包人不提供材料和工程设备。</w:t>
      </w:r>
    </w:p>
    <w:p w14:paraId="2768E3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661" w:name="_Toc27087"/>
      <w:bookmarkStart w:id="662" w:name="_Toc67789012"/>
      <w:bookmarkStart w:id="663" w:name="_Toc15796"/>
      <w:bookmarkStart w:id="664" w:name="_Toc28627"/>
      <w:bookmarkStart w:id="665" w:name="_Toc6978"/>
      <w:bookmarkStart w:id="666" w:name="_Toc29888"/>
      <w:bookmarkStart w:id="667" w:name="_Toc24685"/>
      <w:bookmarkStart w:id="668" w:name="_Toc29749"/>
      <w:bookmarkStart w:id="669" w:name="_Toc11038"/>
      <w:r>
        <w:rPr>
          <w:rFonts w:hint="eastAsia" w:ascii="黑体" w:hAnsi="宋体" w:eastAsia="黑体" w:cs="黑体"/>
          <w:color w:val="000000"/>
          <w:sz w:val="28"/>
          <w:szCs w:val="28"/>
        </w:rPr>
        <w:t>7．施工设备和临时设施</w:t>
      </w:r>
      <w:bookmarkEnd w:id="661"/>
      <w:bookmarkEnd w:id="662"/>
      <w:bookmarkEnd w:id="663"/>
      <w:bookmarkEnd w:id="664"/>
      <w:bookmarkEnd w:id="665"/>
      <w:bookmarkEnd w:id="666"/>
      <w:bookmarkEnd w:id="667"/>
      <w:bookmarkEnd w:id="668"/>
      <w:bookmarkEnd w:id="669"/>
    </w:p>
    <w:p w14:paraId="67CA2F3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70" w:name="_Toc9320"/>
      <w:r>
        <w:rPr>
          <w:rFonts w:hint="eastAsia" w:ascii="宋体" w:hAnsi="宋体" w:eastAsia="宋体" w:cs="宋体"/>
          <w:color w:val="000000"/>
          <w:sz w:val="24"/>
          <w:szCs w:val="24"/>
        </w:rPr>
        <w:t>7.2 发包人提供的施工设备和临时设施</w:t>
      </w:r>
      <w:bookmarkEnd w:id="670"/>
    </w:p>
    <w:p w14:paraId="458C46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发包人提供的施工设备或临时设施：执行通用条款B。</w:t>
      </w:r>
    </w:p>
    <w:p w14:paraId="40061E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671" w:name="_Toc911"/>
      <w:bookmarkStart w:id="672" w:name="_Toc22055"/>
      <w:r>
        <w:rPr>
          <w:rFonts w:hint="eastAsia" w:ascii="黑体" w:hAnsi="宋体" w:eastAsia="黑体" w:cs="黑体"/>
          <w:color w:val="000000"/>
          <w:sz w:val="28"/>
          <w:szCs w:val="28"/>
        </w:rPr>
        <w:t>8．交通运输</w:t>
      </w:r>
      <w:bookmarkEnd w:id="671"/>
      <w:bookmarkEnd w:id="672"/>
    </w:p>
    <w:p w14:paraId="39BAAC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73" w:name="_Toc79760365"/>
      <w:r>
        <w:rPr>
          <w:rFonts w:hint="eastAsia" w:ascii="宋体" w:hAnsi="宋体" w:eastAsia="宋体" w:cs="宋体"/>
          <w:color w:val="000000"/>
          <w:sz w:val="24"/>
          <w:szCs w:val="24"/>
        </w:rPr>
        <w:t>8.1 道路通行权和场外设施</w:t>
      </w:r>
      <w:bookmarkEnd w:id="673"/>
    </w:p>
    <w:p w14:paraId="33D1C2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道路通行权和场外设施约定：执行通用条款B。</w:t>
      </w:r>
    </w:p>
    <w:p w14:paraId="29A778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74" w:name="_Toc79760366"/>
      <w:r>
        <w:rPr>
          <w:rFonts w:hint="eastAsia" w:ascii="宋体" w:hAnsi="宋体" w:eastAsia="宋体" w:cs="宋体"/>
          <w:color w:val="000000"/>
          <w:sz w:val="24"/>
          <w:szCs w:val="24"/>
        </w:rPr>
        <w:t>8.5 道路和桥梁的损坏责任</w:t>
      </w:r>
      <w:bookmarkEnd w:id="674"/>
    </w:p>
    <w:p w14:paraId="3E23A9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因承包人运输造成施工场地内外公共道路，桥梁，设施设备，以及植被（作物）损坏的，均由承包人承担修复和负责损坏的全部费用和可能引起的赔偿。</w:t>
      </w:r>
    </w:p>
    <w:p w14:paraId="6F8EAF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675" w:name="_Toc30093"/>
      <w:bookmarkStart w:id="676" w:name="_Toc30080"/>
      <w:r>
        <w:rPr>
          <w:rFonts w:hint="eastAsia" w:ascii="黑体" w:hAnsi="宋体" w:eastAsia="黑体" w:cs="黑体"/>
          <w:color w:val="000000"/>
          <w:sz w:val="28"/>
          <w:szCs w:val="28"/>
        </w:rPr>
        <w:t>9．测量放线</w:t>
      </w:r>
      <w:bookmarkEnd w:id="675"/>
      <w:bookmarkEnd w:id="676"/>
    </w:p>
    <w:p w14:paraId="1BF398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677" w:name="_Toc79760367"/>
      <w:r>
        <w:rPr>
          <w:rFonts w:hint="eastAsia" w:ascii="宋体" w:hAnsi="宋体" w:eastAsia="宋体" w:cs="宋体"/>
          <w:color w:val="000000"/>
          <w:sz w:val="24"/>
          <w:szCs w:val="24"/>
        </w:rPr>
        <w:t>9.1 施工控制网</w:t>
      </w:r>
      <w:bookmarkEnd w:id="677"/>
    </w:p>
    <w:p w14:paraId="5F8B63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9.1.1发包人应于合同签订后7内通过监理人向承包人提供测量基准点、基准线和水准点及其书面资料。承包人应在</w:t>
      </w:r>
      <w:r>
        <w:rPr>
          <w:rFonts w:hint="eastAsia" w:ascii="宋体" w:hAnsi="宋体" w:eastAsia="宋体" w:cs="宋体"/>
          <w:color w:val="000000"/>
          <w:sz w:val="24"/>
          <w:szCs w:val="24"/>
          <w:shd w:val="clear" w:fill="FFFF00"/>
        </w:rPr>
        <w:t>【】</w:t>
      </w:r>
      <w:r>
        <w:rPr>
          <w:rFonts w:hint="eastAsia" w:ascii="宋体" w:hAnsi="宋体" w:eastAsia="宋体" w:cs="宋体"/>
          <w:color w:val="000000"/>
          <w:sz w:val="24"/>
          <w:szCs w:val="24"/>
        </w:rPr>
        <w:t>将施工控制网资料报送监理人批准。</w:t>
      </w:r>
    </w:p>
    <w:p w14:paraId="0BE042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678" w:name="_Toc10643"/>
      <w:bookmarkStart w:id="679" w:name="_Toc67789015"/>
      <w:bookmarkStart w:id="680" w:name="_Toc11059"/>
      <w:bookmarkStart w:id="681" w:name="_Toc28931"/>
      <w:bookmarkStart w:id="682" w:name="_Toc31035"/>
      <w:bookmarkStart w:id="683" w:name="_Toc30934"/>
      <w:bookmarkStart w:id="684" w:name="_Toc17863"/>
      <w:bookmarkStart w:id="685" w:name="_Toc8147"/>
      <w:bookmarkStart w:id="686" w:name="_Toc17641"/>
      <w:r>
        <w:rPr>
          <w:rFonts w:hint="eastAsia" w:ascii="黑体" w:hAnsi="宋体" w:eastAsia="黑体" w:cs="黑体"/>
          <w:color w:val="000000"/>
          <w:sz w:val="28"/>
          <w:szCs w:val="28"/>
        </w:rPr>
        <w:t>10.安全、治安保卫和环境保护</w:t>
      </w:r>
      <w:bookmarkEnd w:id="678"/>
      <w:bookmarkEnd w:id="679"/>
      <w:bookmarkEnd w:id="680"/>
      <w:bookmarkEnd w:id="681"/>
      <w:bookmarkEnd w:id="682"/>
      <w:bookmarkEnd w:id="683"/>
      <w:bookmarkEnd w:id="684"/>
      <w:bookmarkEnd w:id="685"/>
      <w:bookmarkEnd w:id="686"/>
    </w:p>
    <w:p w14:paraId="3F9E4D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10.2 承包人的安全责任</w:t>
      </w:r>
    </w:p>
    <w:p w14:paraId="141F87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10.2.1承包人应当在</w:t>
      </w:r>
      <w:r>
        <w:rPr>
          <w:rFonts w:hint="eastAsia" w:ascii="宋体" w:hAnsi="宋体" w:eastAsia="宋体" w:cs="宋体"/>
          <w:color w:val="000000"/>
          <w:sz w:val="24"/>
          <w:szCs w:val="24"/>
          <w:shd w:val="clear" w:fill="FFFF00"/>
        </w:rPr>
        <w:t>【】</w:t>
      </w:r>
      <w:r>
        <w:rPr>
          <w:rFonts w:hint="eastAsia" w:ascii="宋体" w:hAnsi="宋体" w:eastAsia="宋体" w:cs="宋体"/>
          <w:color w:val="000000"/>
          <w:sz w:val="24"/>
          <w:szCs w:val="24"/>
        </w:rPr>
        <w:t>将编制的安全措施计划报送监理人批准。</w:t>
      </w:r>
    </w:p>
    <w:p w14:paraId="0948AF8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jc w:val="both"/>
      </w:pPr>
      <w:r>
        <w:rPr>
          <w:rFonts w:hint="eastAsia" w:ascii="黑体" w:hAnsi="宋体" w:eastAsia="黑体" w:cs="黑体"/>
          <w:color w:val="000000"/>
          <w:sz w:val="28"/>
          <w:szCs w:val="28"/>
        </w:rPr>
        <w:t>11．开始工作和竣工</w:t>
      </w:r>
    </w:p>
    <w:p w14:paraId="2A27F5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687" w:name="_Toc31166"/>
      <w:bookmarkStart w:id="688" w:name="_Toc79760368"/>
      <w:r>
        <w:rPr>
          <w:rFonts w:hint="eastAsia" w:ascii="宋体" w:hAnsi="宋体" w:eastAsia="宋体" w:cs="宋体"/>
          <w:color w:val="000000"/>
          <w:sz w:val="24"/>
          <w:szCs w:val="24"/>
        </w:rPr>
        <w:t>11.1 开始工作</w:t>
      </w:r>
      <w:bookmarkEnd w:id="687"/>
      <w:bookmarkEnd w:id="688"/>
    </w:p>
    <w:p w14:paraId="331FEBA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 xml:space="preserve">此条全部修改为：开始工作的条件 </w:t>
      </w:r>
      <w:r>
        <w:rPr>
          <w:rFonts w:hint="eastAsia" w:ascii="宋体" w:hAnsi="宋体" w:eastAsia="宋体" w:cs="宋体"/>
          <w:color w:val="000000"/>
          <w:sz w:val="24"/>
          <w:szCs w:val="24"/>
          <w:u w:val="single"/>
        </w:rPr>
        <w:t xml:space="preserve">  以监理人书面通知为准    </w:t>
      </w:r>
      <w:r>
        <w:rPr>
          <w:rFonts w:hint="eastAsia" w:ascii="宋体" w:hAnsi="宋体" w:eastAsia="宋体" w:cs="宋体"/>
          <w:color w:val="000000"/>
          <w:sz w:val="24"/>
          <w:szCs w:val="24"/>
        </w:rPr>
        <w:t>，监理人应提前7天向承包人发出开始工作通知。监理人在发出开始工作通知前应获得发包人同意。工期自开始工作通知中载明的开始工作日期起计算。因发包人原因造成监理人未能在合同签订之日起90天内发出开始工作通知的，承包人有权提出工期顺延要求。</w:t>
      </w:r>
    </w:p>
    <w:p w14:paraId="1E7AEC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689" w:name="_Toc79760369"/>
      <w:bookmarkStart w:id="690" w:name="_Toc10682"/>
      <w:r>
        <w:rPr>
          <w:rFonts w:hint="eastAsia" w:ascii="宋体" w:hAnsi="宋体" w:eastAsia="宋体" w:cs="宋体"/>
          <w:color w:val="000000"/>
          <w:sz w:val="24"/>
          <w:szCs w:val="24"/>
        </w:rPr>
        <w:t xml:space="preserve">11.4 </w:t>
      </w:r>
      <w:r>
        <w:rPr>
          <w:rFonts w:hint="eastAsia" w:ascii="黑体" w:hAnsi="宋体" w:eastAsia="黑体" w:cs="黑体"/>
          <w:color w:val="000000"/>
          <w:sz w:val="24"/>
          <w:szCs w:val="24"/>
        </w:rPr>
        <w:t>异常恶劣的气候条件</w:t>
      </w:r>
      <w:bookmarkEnd w:id="689"/>
      <w:bookmarkEnd w:id="690"/>
    </w:p>
    <w:p w14:paraId="446021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黑体" w:hAnsi="宋体" w:eastAsia="黑体" w:cs="黑体"/>
          <w:color w:val="000000"/>
          <w:sz w:val="24"/>
          <w:szCs w:val="24"/>
        </w:rPr>
        <w:t>适用如下专用条款：出现异常恶劣的气候条件导致工期延误的，承包人应当及时向监理人或发包人报告异常恶劣气候出现的情况、工期延误的情况，经发包人批准，可以相应延长工期。</w:t>
      </w:r>
    </w:p>
    <w:p w14:paraId="5FF3D4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11.5 承包人引起的工期延误</w:t>
      </w:r>
    </w:p>
    <w:p w14:paraId="3E3452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逾期投产违约金的计算方法和最高限额：每逾期一天违约金为签约合同价的1‰，逾期违约金最高不超过签约合同总价的5%。</w:t>
      </w:r>
    </w:p>
    <w:p w14:paraId="30AB4B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691" w:name="_Toc18780"/>
      <w:r>
        <w:rPr>
          <w:rFonts w:hint="eastAsia" w:ascii="宋体" w:hAnsi="宋体" w:eastAsia="宋体" w:cs="宋体"/>
          <w:color w:val="000000"/>
          <w:sz w:val="24"/>
          <w:szCs w:val="24"/>
        </w:rPr>
        <w:t>11.6 工期提前</w:t>
      </w:r>
      <w:bookmarkEnd w:id="691"/>
    </w:p>
    <w:p w14:paraId="0BEBE1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提前竣工奖金：不适用。</w:t>
      </w:r>
    </w:p>
    <w:p w14:paraId="7177FE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692" w:name="_Toc19084"/>
      <w:bookmarkStart w:id="693" w:name="_Toc19319"/>
      <w:bookmarkStart w:id="694" w:name="_Toc18288"/>
      <w:bookmarkStart w:id="695" w:name="_Toc5390"/>
      <w:bookmarkStart w:id="696" w:name="_Toc30642"/>
      <w:bookmarkStart w:id="697" w:name="_Toc67789016"/>
      <w:bookmarkStart w:id="698" w:name="_Toc25476"/>
      <w:bookmarkStart w:id="699" w:name="_Toc24800"/>
      <w:bookmarkStart w:id="700" w:name="_Toc30880"/>
      <w:r>
        <w:rPr>
          <w:rFonts w:hint="eastAsia" w:ascii="黑体" w:hAnsi="宋体" w:eastAsia="黑体" w:cs="黑体"/>
          <w:color w:val="000000"/>
          <w:sz w:val="28"/>
          <w:szCs w:val="28"/>
        </w:rPr>
        <w:t>15．变更</w:t>
      </w:r>
      <w:bookmarkEnd w:id="692"/>
      <w:bookmarkEnd w:id="693"/>
      <w:bookmarkEnd w:id="694"/>
      <w:bookmarkEnd w:id="695"/>
      <w:bookmarkEnd w:id="696"/>
      <w:bookmarkEnd w:id="697"/>
      <w:bookmarkEnd w:id="698"/>
      <w:bookmarkEnd w:id="699"/>
      <w:bookmarkEnd w:id="700"/>
    </w:p>
    <w:p w14:paraId="09E903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15.1 发包人调整项目装机规模、工期、升压站等级等情况，涉及的相关费用根据实际情况，参照本项目合同已有单价和计费原则进行变更。</w:t>
      </w:r>
    </w:p>
    <w:p w14:paraId="553BC7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01" w:name="_Toc79760370"/>
      <w:bookmarkStart w:id="702" w:name="_Toc23536"/>
      <w:r>
        <w:rPr>
          <w:rFonts w:hint="eastAsia" w:ascii="宋体" w:hAnsi="宋体" w:eastAsia="宋体" w:cs="宋体"/>
          <w:color w:val="000000"/>
          <w:sz w:val="24"/>
          <w:szCs w:val="24"/>
        </w:rPr>
        <w:t>15.2 承包人的合理化建议</w:t>
      </w:r>
      <w:bookmarkEnd w:id="701"/>
      <w:bookmarkEnd w:id="702"/>
    </w:p>
    <w:p w14:paraId="3C8508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15.2.2 约定给予奖励为：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4BE7B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03" w:name="_Toc79760371"/>
      <w:r>
        <w:rPr>
          <w:rFonts w:hint="eastAsia" w:ascii="宋体" w:hAnsi="宋体" w:eastAsia="宋体" w:cs="宋体"/>
          <w:color w:val="000000"/>
          <w:sz w:val="24"/>
          <w:szCs w:val="24"/>
        </w:rPr>
        <w:t>15.5 计日工</w:t>
      </w:r>
      <w:bookmarkEnd w:id="703"/>
    </w:p>
    <w:p w14:paraId="3ECDE0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计日工执行通用条款：15.5计日工（B）。</w:t>
      </w:r>
    </w:p>
    <w:p w14:paraId="498971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04" w:name="_Toc79760372"/>
      <w:r>
        <w:rPr>
          <w:rFonts w:hint="eastAsia" w:ascii="宋体" w:hAnsi="宋体" w:eastAsia="宋体" w:cs="宋体"/>
          <w:color w:val="000000"/>
          <w:sz w:val="24"/>
          <w:szCs w:val="24"/>
        </w:rPr>
        <w:t>15.6 暂估价</w:t>
      </w:r>
      <w:bookmarkEnd w:id="704"/>
    </w:p>
    <w:p w14:paraId="145CDD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05" w:name="_Toc30909"/>
      <w:bookmarkStart w:id="706" w:name="_Toc32251"/>
      <w:bookmarkStart w:id="707" w:name="_Toc67789017"/>
      <w:bookmarkStart w:id="708" w:name="_Toc1593"/>
      <w:bookmarkStart w:id="709" w:name="_Toc6658"/>
      <w:bookmarkStart w:id="710" w:name="_Toc12446"/>
      <w:bookmarkStart w:id="711" w:name="_Toc11151"/>
      <w:bookmarkStart w:id="712" w:name="_Toc15765"/>
      <w:bookmarkStart w:id="713" w:name="_Toc29970"/>
      <w:r>
        <w:rPr>
          <w:rFonts w:hint="eastAsia" w:ascii="宋体" w:hAnsi="宋体" w:eastAsia="宋体" w:cs="宋体"/>
          <w:color w:val="000000"/>
          <w:sz w:val="24"/>
          <w:szCs w:val="24"/>
        </w:rPr>
        <w:t>本合同为固定总价合同，除合同专用条款约定外，结算时费用均不予调整。</w:t>
      </w:r>
      <w:bookmarkEnd w:id="705"/>
      <w:bookmarkEnd w:id="706"/>
      <w:bookmarkEnd w:id="707"/>
      <w:bookmarkEnd w:id="708"/>
      <w:bookmarkEnd w:id="709"/>
      <w:bookmarkEnd w:id="710"/>
      <w:bookmarkEnd w:id="711"/>
      <w:bookmarkEnd w:id="712"/>
      <w:bookmarkEnd w:id="713"/>
    </w:p>
    <w:p w14:paraId="2924DF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涉及变更项目的，合同文件标明价格的，按合同文件价格进行变更；合同没有单价的，按照投标文件承诺的费率、税率、利润率、材料价格、人工费进行调整，涉及新增单价的，定额选用2018版电力定额。未涉及变更部分的结算价格不受变更项的影响。</w:t>
      </w:r>
    </w:p>
    <w:p w14:paraId="46B04F7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r>
        <w:rPr>
          <w:rFonts w:hint="eastAsia" w:ascii="黑体" w:hAnsi="宋体" w:eastAsia="黑体" w:cs="黑体"/>
          <w:color w:val="000000"/>
          <w:sz w:val="28"/>
          <w:szCs w:val="28"/>
        </w:rPr>
        <w:t>16．价格调整</w:t>
      </w:r>
    </w:p>
    <w:p w14:paraId="778535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714" w:name="_Toc25622"/>
      <w:r>
        <w:rPr>
          <w:rFonts w:hint="eastAsia" w:ascii="宋体" w:hAnsi="宋体" w:eastAsia="宋体" w:cs="宋体"/>
          <w:color w:val="000000"/>
          <w:sz w:val="24"/>
          <w:szCs w:val="24"/>
        </w:rPr>
        <w:t>16.1 物价波动引起的调整</w:t>
      </w:r>
      <w:bookmarkEnd w:id="714"/>
    </w:p>
    <w:p w14:paraId="41430B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物价波动引起的调整：本项目合同执行期间原则上不对人工、材料、机械等调整。</w:t>
      </w:r>
    </w:p>
    <w:p w14:paraId="31AC5F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物价变化进行调差：除遇到国家法律法规、政策、行情发生较大变化外，本项目合同执行期间原则上不对物价变化进行调差。</w:t>
      </w:r>
    </w:p>
    <w:p w14:paraId="65516D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715" w:name="_Toc21581"/>
      <w:r>
        <w:rPr>
          <w:rFonts w:hint="eastAsia" w:ascii="宋体" w:hAnsi="宋体" w:eastAsia="宋体" w:cs="宋体"/>
          <w:color w:val="000000"/>
          <w:sz w:val="24"/>
          <w:szCs w:val="24"/>
        </w:rPr>
        <w:t>16.3 法律变化引起的调整</w:t>
      </w:r>
      <w:bookmarkEnd w:id="715"/>
    </w:p>
    <w:p w14:paraId="6B9E7D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在基准日后，因法律变化导致承包人在合同履行中所需费用发生除第16.1 款约定以外的增减时，监理人应根据法律、国家或省、自治区、直辖市有关部门的规定，按第3.5款商定或确定需调整的合同价格。</w:t>
      </w:r>
    </w:p>
    <w:p w14:paraId="1A6C651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716" w:name="_Toc28324"/>
      <w:bookmarkStart w:id="717" w:name="_Toc16525"/>
      <w:bookmarkStart w:id="718" w:name="_Toc25935"/>
      <w:bookmarkStart w:id="719" w:name="_Toc7312"/>
      <w:bookmarkStart w:id="720" w:name="_Toc67789018"/>
      <w:bookmarkStart w:id="721" w:name="_Toc1545"/>
      <w:bookmarkStart w:id="722" w:name="_Toc13569"/>
      <w:bookmarkStart w:id="723" w:name="_Toc23828"/>
      <w:bookmarkStart w:id="724" w:name="_Toc5166"/>
      <w:r>
        <w:rPr>
          <w:rFonts w:hint="eastAsia" w:ascii="黑体" w:hAnsi="宋体" w:eastAsia="黑体" w:cs="黑体"/>
          <w:color w:val="000000"/>
          <w:sz w:val="28"/>
          <w:szCs w:val="28"/>
        </w:rPr>
        <w:t>17．合同价格与支付</w:t>
      </w:r>
      <w:bookmarkEnd w:id="716"/>
      <w:bookmarkEnd w:id="717"/>
      <w:bookmarkEnd w:id="718"/>
      <w:bookmarkEnd w:id="719"/>
      <w:bookmarkEnd w:id="720"/>
      <w:bookmarkEnd w:id="721"/>
      <w:bookmarkEnd w:id="722"/>
      <w:bookmarkEnd w:id="723"/>
      <w:bookmarkEnd w:id="724"/>
    </w:p>
    <w:p w14:paraId="23B40D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725" w:name="_Toc25606"/>
      <w:r>
        <w:rPr>
          <w:rFonts w:hint="eastAsia" w:ascii="宋体" w:hAnsi="宋体" w:eastAsia="宋体" w:cs="宋体"/>
          <w:color w:val="000000"/>
          <w:sz w:val="24"/>
          <w:szCs w:val="24"/>
        </w:rPr>
        <w:t>17.1 合同价格</w:t>
      </w:r>
      <w:bookmarkEnd w:id="725"/>
    </w:p>
    <w:p w14:paraId="3491EE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本合同价款采用第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种方式确定：</w:t>
      </w:r>
    </w:p>
    <w:p w14:paraId="7EC0BA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（1）总价合同。</w:t>
      </w:r>
    </w:p>
    <w:p w14:paraId="6EFD06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风险费用的计算方法：风险费用已含在总价内，不予调整。</w:t>
      </w:r>
    </w:p>
    <w:p w14:paraId="4E5550E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风险范围以外合同价款调整方法：见专用条款15。</w:t>
      </w:r>
    </w:p>
    <w:p w14:paraId="43313F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（2）采用可调价格合同，合同价款调整方法：</w:t>
      </w:r>
      <w:r>
        <w:rPr>
          <w:rFonts w:hint="eastAsia" w:ascii="宋体" w:hAnsi="宋体" w:eastAsia="宋体" w:cs="宋体"/>
          <w:color w:val="000000"/>
          <w:sz w:val="24"/>
          <w:szCs w:val="24"/>
          <w:u w:val="single"/>
        </w:rPr>
        <w:t>不适用</w:t>
      </w:r>
      <w:r>
        <w:rPr>
          <w:rFonts w:hint="eastAsia" w:ascii="宋体" w:hAnsi="宋体" w:eastAsia="宋体" w:cs="宋体"/>
          <w:color w:val="000000"/>
          <w:sz w:val="24"/>
          <w:szCs w:val="24"/>
        </w:rPr>
        <w:t>。</w:t>
      </w:r>
    </w:p>
    <w:p w14:paraId="1667BB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（3）采用成本加酬金合同，有关成本和酬金的约定：</w:t>
      </w:r>
      <w:r>
        <w:rPr>
          <w:rFonts w:hint="eastAsia" w:ascii="宋体" w:hAnsi="宋体" w:eastAsia="宋体" w:cs="宋体"/>
          <w:color w:val="000000"/>
          <w:sz w:val="24"/>
          <w:szCs w:val="24"/>
          <w:u w:val="single"/>
        </w:rPr>
        <w:t>不适用</w:t>
      </w:r>
      <w:r>
        <w:rPr>
          <w:rFonts w:hint="eastAsia" w:ascii="宋体" w:hAnsi="宋体" w:eastAsia="宋体" w:cs="宋体"/>
          <w:color w:val="000000"/>
          <w:sz w:val="24"/>
          <w:szCs w:val="24"/>
        </w:rPr>
        <w:t>。</w:t>
      </w:r>
    </w:p>
    <w:p w14:paraId="237896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合同执行过程中，如发生国家财税政策调整，本合同不含税价不因增值税税率变化而调整，增值税税额将随适用的增值税税率调整而同步调整，合同含税总价相应调整。</w:t>
      </w:r>
    </w:p>
    <w:p w14:paraId="0BF1223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（2）纳税人名称</w:t>
      </w:r>
    </w:p>
    <w:p w14:paraId="789828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单位名称：</w:t>
      </w:r>
    </w:p>
    <w:p w14:paraId="4B0551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纳税人识别号：</w:t>
      </w:r>
    </w:p>
    <w:p w14:paraId="4528B6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地址：</w:t>
      </w:r>
    </w:p>
    <w:p w14:paraId="2394E6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电   话：</w:t>
      </w:r>
    </w:p>
    <w:p w14:paraId="277ABC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开户行名称：</w:t>
      </w:r>
    </w:p>
    <w:p w14:paraId="7722BE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182" w:lineRule="auto"/>
        <w:ind w:left="0" w:firstLine="480"/>
      </w:pPr>
      <w:r>
        <w:rPr>
          <w:rFonts w:hint="default" w:ascii="Calibri" w:hAnsi="Calibri" w:cs="Calibri"/>
          <w:color w:val="000000"/>
          <w:sz w:val="24"/>
          <w:szCs w:val="24"/>
        </w:rPr>
        <w:t>账  户：</w:t>
      </w:r>
    </w:p>
    <w:p w14:paraId="1E6D1E9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15C369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726" w:name="_Toc79760373"/>
      <w:bookmarkStart w:id="727" w:name="_Toc3735"/>
      <w:r>
        <w:rPr>
          <w:rFonts w:hint="eastAsia" w:ascii="宋体" w:hAnsi="宋体" w:eastAsia="宋体" w:cs="宋体"/>
          <w:color w:val="000000"/>
          <w:sz w:val="24"/>
          <w:szCs w:val="24"/>
        </w:rPr>
        <w:t>17.2 预付款</w:t>
      </w:r>
      <w:bookmarkEnd w:id="726"/>
      <w:bookmarkEnd w:id="727"/>
    </w:p>
    <w:p w14:paraId="627322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728" w:name="_Toc9972"/>
      <w:r>
        <w:rPr>
          <w:rFonts w:hint="eastAsia" w:ascii="宋体" w:hAnsi="宋体" w:eastAsia="宋体" w:cs="宋体"/>
          <w:color w:val="000000"/>
          <w:sz w:val="24"/>
          <w:szCs w:val="24"/>
          <w:shd w:val="clear" w:fill="FFFF00"/>
        </w:rPr>
        <w:t>请在此处明确是否有预付款，如有，需明确具体比例及支付条件</w:t>
      </w:r>
      <w:bookmarkEnd w:id="728"/>
    </w:p>
    <w:p w14:paraId="07E2FC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17.3 工程进度付款</w:t>
      </w:r>
    </w:p>
    <w:p w14:paraId="27BB54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17.3.3 进度付款申请单</w:t>
      </w:r>
    </w:p>
    <w:p w14:paraId="6DEAC1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进度付款申请单的份数【    】份。</w:t>
      </w:r>
    </w:p>
    <w:p w14:paraId="2B86AF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17.3.6 增加此条款</w:t>
      </w:r>
    </w:p>
    <w:p w14:paraId="7E8375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FF"/>
          <w:sz w:val="24"/>
          <w:szCs w:val="24"/>
        </w:rPr>
        <w:t>双方约定的工程款（进度款）支付的方式和时间：按月支付。</w:t>
      </w:r>
    </w:p>
    <w:p w14:paraId="093084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承包人应在每月【    】日按本合同约定的格式向发包人提交进度付款申请单（一式4份），并附相应的支持性证明文件。</w:t>
      </w:r>
    </w:p>
    <w:p w14:paraId="79C782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17.3.6.1</w:t>
      </w:r>
      <w:r>
        <w:rPr>
          <w:rFonts w:hint="eastAsia" w:ascii="宋体" w:hAnsi="宋体" w:eastAsia="宋体" w:cs="宋体"/>
          <w:color w:val="0000FF"/>
          <w:sz w:val="24"/>
          <w:szCs w:val="24"/>
        </w:rPr>
        <w:t>合同价格的【  】按以下条款予以兑现（注：①付款总额达到合同价格的97%时，合同价款暂停支付；②其余【  】的合同价款按照专用合同条款第17.3.6.2项的规定考核兑现，并在相应的支付周期内予以支付）。</w:t>
      </w:r>
    </w:p>
    <w:p w14:paraId="7988A0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1.建筑安装工程及施工辅助工程部分</w:t>
      </w:r>
    </w:p>
    <w:p w14:paraId="461CC1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（1） 本工程进度款为建筑安装工程及施工辅助工程总价的【  】，发包人凭承包人提交的下述材料审核无误后15个工作日内，按照发包人及监理人确认的当月（次）已完工程价款的【  】向承包人支付工程进度款： </w:t>
      </w:r>
    </w:p>
    <w:p w14:paraId="287B5D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1）监理人签发且发包人现场代表确认的工程量付款证书正本1份、副本1份；</w:t>
      </w:r>
    </w:p>
    <w:p w14:paraId="02E1D1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2）盖有承包人公司财务章的有效财务收据1份，并说明款项名称、金额及合同号等内容；</w:t>
      </w:r>
    </w:p>
    <w:p w14:paraId="5C8B575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3）承包人提供已完工程价款【  】的增值税专用发票1份。</w:t>
      </w:r>
    </w:p>
    <w:p w14:paraId="4676B4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4）不拖欠农民工工资的证明文件</w:t>
      </w:r>
    </w:p>
    <w:p w14:paraId="2AE764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（2）工程安装调试完毕通过整套启动试运验收，发包人凭承包人提交的下述材料审核无误后15个工作日内支付建筑安装工程及施工辅助工程合同总价【  】；</w:t>
      </w:r>
    </w:p>
    <w:p w14:paraId="044ED8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1）盖有承包人公司财务章的有效财务收据1份，并说明款项名称、金额及合同号等内容； </w:t>
      </w:r>
    </w:p>
    <w:p w14:paraId="4AE377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2）提供全容量并网发电验收证明； </w:t>
      </w:r>
    </w:p>
    <w:p w14:paraId="1AA8C4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3）合同规定的承包人需履行的其他义务和提交的文件资料、计划、措施等。</w:t>
      </w:r>
    </w:p>
    <w:p w14:paraId="7DC72C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（3）工程试运行结束并通过移交生产验收，发包人凭承包人提交的下述材料审核无误后15个工作日内支付建筑安装工程及施工辅助工程合同总价的【  】：</w:t>
      </w:r>
    </w:p>
    <w:p w14:paraId="2CB3AB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1）盖有承包人公司财务章的有效财务收据1份，并说明款项名称、金额及合同号等内容；</w:t>
      </w:r>
    </w:p>
    <w:p w14:paraId="439434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2）提供移交生产验收证明；</w:t>
      </w:r>
    </w:p>
    <w:p w14:paraId="1DC87E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3）承包人应移交给发包人的所有档案资料。</w:t>
      </w:r>
    </w:p>
    <w:p w14:paraId="601BF1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4）环评验收、水保验收、职业健康与安全设施验收、消防验收、档案验收等专项验收意见，土地证、规划许可证、施工许可证等合规性材料。</w:t>
      </w:r>
    </w:p>
    <w:p w14:paraId="59736E1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（4）工程通过竣工验收，发包人凭承包人提交的下述材料审核无误后15个工作日内支付至建筑安装工程（含施工辅助工程）结算价【  】；</w:t>
      </w:r>
    </w:p>
    <w:p w14:paraId="6324B0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1）盖有承包人公司财务章的有效财务收据1份，并说明款项名称、金额及合同号等内容；</w:t>
      </w:r>
    </w:p>
    <w:p w14:paraId="4B6429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2）竣工验收证明；</w:t>
      </w:r>
    </w:p>
    <w:p w14:paraId="4E0309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3）双方认可的项目竣工结算书。</w:t>
      </w:r>
    </w:p>
    <w:p w14:paraId="35C714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（5）最终结清</w:t>
      </w:r>
    </w:p>
    <w:p w14:paraId="31CBC8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在缺陷责任期满且合同范围内所有责任义务履行完毕，发包人凭承包人提交的下述材料审核无误后15个工作日内无息退还质量保证金：</w:t>
      </w:r>
    </w:p>
    <w:p w14:paraId="3C2694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1）盖有承包人公司财务章的有效财务收据1份，并说明款项名称、金额及合同号等内容；</w:t>
      </w:r>
    </w:p>
    <w:p w14:paraId="610C55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2）最终结清申请单，并提供相关证明材料；</w:t>
      </w:r>
    </w:p>
    <w:p w14:paraId="5E3132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3）发包人签发的缺陷责任期终止证书。</w:t>
      </w:r>
    </w:p>
    <w:p w14:paraId="7932AA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2.设备部分</w:t>
      </w:r>
    </w:p>
    <w:p w14:paraId="7D88A7A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9"/>
      </w:pPr>
      <w:r>
        <w:rPr>
          <w:rFonts w:hint="eastAsia" w:ascii="宋体" w:hAnsi="宋体" w:eastAsia="宋体" w:cs="宋体"/>
          <w:b/>
          <w:bCs/>
          <w:color w:val="000000"/>
          <w:sz w:val="24"/>
          <w:szCs w:val="24"/>
        </w:rPr>
        <w:t>（1）支架、电缆、逆变器、升压站及控制保护设备</w:t>
      </w:r>
    </w:p>
    <w:p w14:paraId="0AC92F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w:t>
      </w:r>
      <w:r>
        <w:rPr>
          <w:rFonts w:hint="eastAsia" w:ascii="宋体" w:hAnsi="宋体" w:eastAsia="宋体" w:cs="宋体"/>
          <w:color w:val="0000FF"/>
          <w:sz w:val="24"/>
          <w:szCs w:val="24"/>
        </w:rPr>
        <w:t>支架、电缆、逆变器等分批次申报专项预付款，专项预付款为该批次支架、电缆、逆变器金额的【  】；</w:t>
      </w:r>
    </w:p>
    <w:p w14:paraId="50C354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①该批次支架、电缆、逆变器的采购协议及供货计划。</w:t>
      </w:r>
    </w:p>
    <w:p w14:paraId="2F6BAB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②金额为该批次支架、电缆、逆变器金额【  】的预付款保函：发包人接受设备供应商直接向发包人开具的预付款保函。</w:t>
      </w:r>
    </w:p>
    <w:p w14:paraId="5091A5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在承包人所购买的设备交货完成后，发包人及监理在合同现场经清点无误并验收合格，凭承包人提交的下列单据并经发包人及监理审核无误签字后30个工作日内，向承包人支付该批次支架、电缆、逆变器金额的【  】，同时扣回该批次支架、电缆、逆变器专项预付款并退回该批次支架、电缆、逆变器专项预付款保函：</w:t>
      </w:r>
    </w:p>
    <w:p w14:paraId="72AC12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①设备到货清单及开箱验收证明。</w:t>
      </w:r>
    </w:p>
    <w:p w14:paraId="15C54D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②金额为该批次支架、电缆、逆变器金额【  】的增值税专用发票（承包人应按法定的税率向发包人开具增值税专用发票）。</w:t>
      </w:r>
    </w:p>
    <w:p w14:paraId="6B34E3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③盖有承包人公司财务章的有效财务收据1份，并说明款项名称、金额及合同号等内容。</w:t>
      </w:r>
    </w:p>
    <w:p w14:paraId="1D0803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3）设备试运行结束并通过移交生产验收，发包人凭承包人提交的下述材料审核无误后30个工作日内支付到支架、电缆、逆变器金额的【  】%：</w:t>
      </w:r>
    </w:p>
    <w:p w14:paraId="7189C3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①累计开具增值税专用发票已达该批次支架、电缆、逆变器金额的【  】。</w:t>
      </w:r>
    </w:p>
    <w:p w14:paraId="1B6F23D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②盖有承包人公司财务章的有效财务收据1份，并说明款项名称、金额及合同号等内容。</w:t>
      </w:r>
    </w:p>
    <w:p w14:paraId="6972B61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③提供移交生产验收证明。</w:t>
      </w:r>
    </w:p>
    <w:p w14:paraId="205F351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④双方认可的项目竣工结算书。</w:t>
      </w:r>
    </w:p>
    <w:p w14:paraId="2061AE0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⑤承包人应移交给发包人的所有档案资料。</w:t>
      </w:r>
    </w:p>
    <w:p w14:paraId="228485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4）质量保证金退还：设备质量保证期满且双方签署验收证书（若有）无息退还质量保证金。</w:t>
      </w:r>
    </w:p>
    <w:p w14:paraId="27FA03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9"/>
      </w:pPr>
      <w:r>
        <w:rPr>
          <w:rFonts w:hint="eastAsia" w:ascii="宋体" w:hAnsi="宋体" w:eastAsia="宋体" w:cs="宋体"/>
          <w:b/>
          <w:bCs/>
          <w:color w:val="000000"/>
          <w:sz w:val="24"/>
          <w:szCs w:val="24"/>
        </w:rPr>
        <w:t>（2）其余设备（除上述组件、支架、电缆、逆变器之外的其他设备）</w:t>
      </w:r>
    </w:p>
    <w:p w14:paraId="2A305B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1）在承包人所购买设备交货完成后，发包人及监理在合同现场经清点无误并验收合格，凭承包人提交的下列单据并经发包人及监理审核无误签字后【 】个工作日内，向承包人支付该批次设备金额的【 】：</w:t>
      </w:r>
    </w:p>
    <w:p w14:paraId="2C2F415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① 设备到货清单及开箱验收证明。</w:t>
      </w:r>
    </w:p>
    <w:p w14:paraId="70AD0C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②金额为该批次设备金额的【 】的增值税专用发票（承包人应按法定的税率向发包人开具增值税专用发票）。</w:t>
      </w:r>
    </w:p>
    <w:p w14:paraId="37132C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③盖有承包人公司财务章的有效财务收据1份，并说明款项名称、金额及合同号等内容。</w:t>
      </w:r>
    </w:p>
    <w:p w14:paraId="5EA529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④质量证书。</w:t>
      </w:r>
    </w:p>
    <w:p w14:paraId="74927A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2）设备安装调试完毕通过整套启动试运验收，发包人凭承包人提交的下述材料审核无误后30个工作日内支付设备金额的【 】：</w:t>
      </w:r>
    </w:p>
    <w:p w14:paraId="79F4E8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①金额为设备总金额【 】的增值税专用发票（承包人应按法定的税率向发包人开具增值税专用发票）。</w:t>
      </w:r>
    </w:p>
    <w:p w14:paraId="3EF391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②盖有承包人公司财务章的有效财务收据1份，并说明款项名称、金额及合同号等内容。</w:t>
      </w:r>
    </w:p>
    <w:p w14:paraId="6FA1CE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③提供全容量并网发电证明。</w:t>
      </w:r>
    </w:p>
    <w:p w14:paraId="760F04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④合同规定的承包人需履行的其他义务和提交的文件资料、计划、措施等。</w:t>
      </w:r>
    </w:p>
    <w:p w14:paraId="475C16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3） 设备试运行结束并通过移交生产验收，发包人凭承包人提交的下述材料审核无误后30个工作日内支付至设备金额的【  】：</w:t>
      </w:r>
    </w:p>
    <w:p w14:paraId="148546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①累计开具增值税专用发票需达设备金额的【 】。</w:t>
      </w:r>
    </w:p>
    <w:p w14:paraId="4A996E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②盖有承包人公司财务章的有效财务收据1份，并说明款项名称、金额及合同号等内容。</w:t>
      </w:r>
    </w:p>
    <w:p w14:paraId="7E9C45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③提供移交生产验收证明。</w:t>
      </w:r>
    </w:p>
    <w:p w14:paraId="47B0460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④双方认可的项目竣工结算书。</w:t>
      </w:r>
    </w:p>
    <w:p w14:paraId="299889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⑤承包人应移交给发包人的所有档案资料。</w:t>
      </w:r>
    </w:p>
    <w:p w14:paraId="55CAFD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4）质量保证金退还：设备质量保证期满且双方签署验收证书（若有）无息退还质量保证金。</w:t>
      </w:r>
    </w:p>
    <w:p w14:paraId="0942AC4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eastAsia" w:ascii="宋体" w:hAnsi="宋体" w:eastAsia="宋体" w:cs="宋体"/>
          <w:b/>
          <w:bCs/>
          <w:color w:val="000000"/>
          <w:sz w:val="24"/>
          <w:szCs w:val="24"/>
        </w:rPr>
        <w:t>（3）勘察设计服务</w:t>
      </w:r>
    </w:p>
    <w:p w14:paraId="07566D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勘察设计服务费按以下工作进度支付：</w:t>
      </w:r>
    </w:p>
    <w:p w14:paraId="44B107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第一次进度款支付：初步设计通过审查后，支付到勘察设计服务费的25％。</w:t>
      </w:r>
    </w:p>
    <w:p w14:paraId="5852C1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第二次进度款支付：在首批并网发电部位的施工图设计文件全部完成后，支付到勘察设计服务费的60％。</w:t>
      </w:r>
    </w:p>
    <w:p w14:paraId="1AA3FE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第三次进度款支付：在施工图设计文件全部完成后，支付到勘察设计服务费的80％。</w:t>
      </w:r>
    </w:p>
    <w:p w14:paraId="217271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第四次进度款支付：在工程通过竣工验收后，承包人满足合同规定的要求，支付到勘察设计总结算价的97％。</w:t>
      </w:r>
    </w:p>
    <w:p w14:paraId="4FA198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质量保证金支付：在承包人履行完成自工程通过工程接收证书签发之日起12个月的缺陷责任期责任后，经检查无设计缺陷等时，无息退还质量保证金。</w:t>
      </w:r>
    </w:p>
    <w:p w14:paraId="25210B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每笔款项支付前，承包人向发包人提供等额增值税专用发票及收据，在第四次进度款支付时累计开具增值税专用发票已达勘察设计服务总结算价款的100%。承包人应按照结算款项金额向发包人提供符合税务规定的税率为6%的增值税专用发票，发包人在收到承包人提供的合格增值税专用发票后支付款项。</w:t>
      </w:r>
    </w:p>
    <w:p w14:paraId="50F572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pPr>
      <w:r>
        <w:rPr>
          <w:rFonts w:hint="eastAsia" w:ascii="宋体" w:hAnsi="宋体" w:eastAsia="宋体" w:cs="宋体"/>
          <w:b/>
          <w:bCs/>
          <w:color w:val="000000"/>
          <w:sz w:val="24"/>
          <w:szCs w:val="24"/>
        </w:rPr>
        <w:t>（4）其他服务项目</w:t>
      </w:r>
    </w:p>
    <w:tbl>
      <w:tblPr>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960"/>
        <w:gridCol w:w="2125"/>
        <w:gridCol w:w="5437"/>
      </w:tblGrid>
      <w:tr w14:paraId="751A5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180" w:hRule="atLeast"/>
          <w:tblCellSpacing w:w="0" w:type="dxa"/>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F0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bdr w:val="none" w:color="auto" w:sz="0" w:space="0"/>
              </w:rPr>
              <w:t>序号</w:t>
            </w:r>
          </w:p>
        </w:tc>
        <w:tc>
          <w:tcPr>
            <w:tcW w:w="2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5A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项目</w:t>
            </w:r>
          </w:p>
        </w:tc>
        <w:tc>
          <w:tcPr>
            <w:tcW w:w="5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FB0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支付方式</w:t>
            </w:r>
          </w:p>
        </w:tc>
      </w:tr>
      <w:tr w14:paraId="08CF0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blCellSpacing w:w="0" w:type="dxa"/>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F6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Calibri" w:hAnsi="Calibri" w:cs="Calibri"/>
                <w:color w:val="000000"/>
                <w:sz w:val="24"/>
                <w:szCs w:val="24"/>
                <w:bdr w:val="none" w:color="auto" w:sz="0" w:space="0"/>
              </w:rPr>
              <w:t>1</w:t>
            </w:r>
          </w:p>
        </w:tc>
        <w:tc>
          <w:tcPr>
            <w:tcW w:w="2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0C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Calibri" w:hAnsi="Calibri" w:cs="Calibri"/>
                <w:color w:val="000000"/>
                <w:sz w:val="24"/>
                <w:szCs w:val="24"/>
                <w:bdr w:val="none" w:color="auto" w:sz="0" w:space="0"/>
              </w:rPr>
              <w:t>项目咨询服务费</w:t>
            </w:r>
          </w:p>
        </w:tc>
        <w:tc>
          <w:tcPr>
            <w:tcW w:w="5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251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bdr w:val="none" w:color="auto" w:sz="0" w:space="0"/>
              </w:rPr>
              <w:t>参照工程建设进度款支付进度比例支付，工程通过移交生产验收后，支付到结算价的【 】</w:t>
            </w:r>
          </w:p>
        </w:tc>
      </w:tr>
      <w:tr w14:paraId="152E3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blCellSpacing w:w="0" w:type="dxa"/>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AD80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Calibri" w:hAnsi="Calibri" w:cs="Calibri"/>
                <w:color w:val="000000"/>
                <w:sz w:val="24"/>
                <w:szCs w:val="24"/>
                <w:bdr w:val="none" w:color="auto" w:sz="0" w:space="0"/>
              </w:rPr>
              <w:t>2</w:t>
            </w:r>
          </w:p>
        </w:tc>
        <w:tc>
          <w:tcPr>
            <w:tcW w:w="2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722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Calibri" w:hAnsi="Calibri" w:cs="Calibri"/>
                <w:color w:val="000000"/>
                <w:sz w:val="24"/>
                <w:szCs w:val="24"/>
                <w:bdr w:val="none" w:color="auto" w:sz="0" w:space="0"/>
              </w:rPr>
              <w:t>项目技术经济评审费</w:t>
            </w:r>
          </w:p>
        </w:tc>
        <w:tc>
          <w:tcPr>
            <w:tcW w:w="5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970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bdr w:val="none" w:color="auto" w:sz="0" w:space="0"/>
              </w:rPr>
              <w:t>参照工程建设进度款支付进度比例支付，工程通过移交生产验收后，支付到结算价的【 】</w:t>
            </w:r>
          </w:p>
        </w:tc>
      </w:tr>
      <w:tr w14:paraId="56D85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blCellSpacing w:w="0" w:type="dxa"/>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D48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Calibri" w:hAnsi="Calibri" w:cs="Calibri"/>
                <w:color w:val="000000"/>
                <w:sz w:val="24"/>
                <w:szCs w:val="24"/>
                <w:bdr w:val="none" w:color="auto" w:sz="0" w:space="0"/>
              </w:rPr>
              <w:t>3</w:t>
            </w:r>
          </w:p>
        </w:tc>
        <w:tc>
          <w:tcPr>
            <w:tcW w:w="2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3D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Calibri" w:hAnsi="Calibri" w:cs="Calibri"/>
                <w:color w:val="000000"/>
                <w:sz w:val="24"/>
                <w:szCs w:val="24"/>
                <w:bdr w:val="none" w:color="auto" w:sz="0" w:space="0"/>
              </w:rPr>
              <w:t>工程质量检查检测费</w:t>
            </w:r>
          </w:p>
        </w:tc>
        <w:tc>
          <w:tcPr>
            <w:tcW w:w="5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288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bdr w:val="none" w:color="auto" w:sz="0" w:space="0"/>
              </w:rPr>
              <w:t>参照工程建设进度款支付进度比例支付，工程通过移交生产验收后，支付到结算价的【 】</w:t>
            </w:r>
          </w:p>
        </w:tc>
      </w:tr>
      <w:tr w14:paraId="3A52F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blCellSpacing w:w="0" w:type="dxa"/>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4E3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Calibri" w:hAnsi="Calibri" w:cs="Calibri"/>
                <w:color w:val="000000"/>
                <w:sz w:val="24"/>
                <w:szCs w:val="24"/>
                <w:bdr w:val="none" w:color="auto" w:sz="0" w:space="0"/>
              </w:rPr>
              <w:t>4</w:t>
            </w:r>
          </w:p>
        </w:tc>
        <w:tc>
          <w:tcPr>
            <w:tcW w:w="2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CE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Calibri" w:hAnsi="Calibri" w:cs="Calibri"/>
                <w:color w:val="000000"/>
                <w:sz w:val="24"/>
                <w:szCs w:val="24"/>
                <w:bdr w:val="none" w:color="auto" w:sz="0" w:space="0"/>
              </w:rPr>
              <w:t>工程定额标准编制管理费</w:t>
            </w:r>
          </w:p>
        </w:tc>
        <w:tc>
          <w:tcPr>
            <w:tcW w:w="5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5FC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bdr w:val="none" w:color="auto" w:sz="0" w:space="0"/>
              </w:rPr>
              <w:t>参照工程建设进度款支付进度比例支付，工程通过移交生产验收后，支付到结算价的【 】</w:t>
            </w:r>
          </w:p>
        </w:tc>
      </w:tr>
      <w:tr w14:paraId="1FE0F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blCellSpacing w:w="0" w:type="dxa"/>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38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Calibri" w:hAnsi="Calibri" w:cs="Calibri"/>
                <w:color w:val="000000"/>
                <w:sz w:val="24"/>
                <w:szCs w:val="24"/>
                <w:bdr w:val="none" w:color="auto" w:sz="0" w:space="0"/>
              </w:rPr>
              <w:t>5</w:t>
            </w:r>
          </w:p>
        </w:tc>
        <w:tc>
          <w:tcPr>
            <w:tcW w:w="2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0B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Calibri" w:hAnsi="Calibri" w:cs="Calibri"/>
                <w:color w:val="000000"/>
                <w:sz w:val="24"/>
                <w:szCs w:val="24"/>
                <w:bdr w:val="none" w:color="auto" w:sz="0" w:space="0"/>
              </w:rPr>
              <w:t>项目验收费</w:t>
            </w:r>
          </w:p>
        </w:tc>
        <w:tc>
          <w:tcPr>
            <w:tcW w:w="5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057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4"/>
                <w:szCs w:val="24"/>
                <w:bdr w:val="none" w:color="auto" w:sz="0" w:space="0"/>
              </w:rPr>
              <w:t>设备安装调试完毕通过整套启动试运行验收</w:t>
            </w:r>
            <w:r>
              <w:rPr>
                <w:rFonts w:hint="default" w:ascii="Calibri" w:hAnsi="Calibri" w:cs="Calibri"/>
                <w:color w:val="000000"/>
                <w:sz w:val="24"/>
                <w:szCs w:val="24"/>
                <w:bdr w:val="none" w:color="auto" w:sz="0" w:space="0"/>
              </w:rPr>
              <w:t>支付到【 】，</w:t>
            </w:r>
            <w:r>
              <w:rPr>
                <w:rFonts w:hint="eastAsia" w:ascii="宋体" w:hAnsi="宋体" w:eastAsia="宋体" w:cs="宋体"/>
                <w:color w:val="000000"/>
                <w:sz w:val="24"/>
                <w:szCs w:val="24"/>
                <w:bdr w:val="none" w:color="auto" w:sz="0" w:space="0"/>
              </w:rPr>
              <w:t>设备试运行结束并通过移交生产验收【 】</w:t>
            </w:r>
          </w:p>
        </w:tc>
      </w:tr>
      <w:tr w14:paraId="24E64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blCellSpacing w:w="0" w:type="dxa"/>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16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Calibri" w:hAnsi="Calibri" w:cs="Calibri"/>
                <w:color w:val="000000"/>
                <w:sz w:val="24"/>
                <w:szCs w:val="24"/>
                <w:bdr w:val="none" w:color="auto" w:sz="0" w:space="0"/>
              </w:rPr>
              <w:t>6</w:t>
            </w:r>
          </w:p>
        </w:tc>
        <w:tc>
          <w:tcPr>
            <w:tcW w:w="2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3F7F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Calibri" w:hAnsi="Calibri" w:cs="Calibri"/>
                <w:color w:val="000000"/>
                <w:sz w:val="24"/>
                <w:szCs w:val="24"/>
                <w:bdr w:val="none" w:color="auto" w:sz="0" w:space="0"/>
              </w:rPr>
              <w:t>工程保险费</w:t>
            </w:r>
          </w:p>
        </w:tc>
        <w:tc>
          <w:tcPr>
            <w:tcW w:w="5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20E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bdr w:val="none" w:color="auto" w:sz="0" w:space="0"/>
              </w:rPr>
              <w:t>项目开工后【 】天内一次性支付</w:t>
            </w:r>
          </w:p>
        </w:tc>
      </w:tr>
      <w:tr w14:paraId="5C0D5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blCellSpacing w:w="0" w:type="dxa"/>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638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Calibri" w:hAnsi="Calibri" w:cs="Calibri"/>
                <w:color w:val="000000"/>
                <w:sz w:val="24"/>
                <w:szCs w:val="24"/>
                <w:bdr w:val="none" w:color="auto" w:sz="0" w:space="0"/>
              </w:rPr>
              <w:t>7</w:t>
            </w:r>
          </w:p>
        </w:tc>
        <w:tc>
          <w:tcPr>
            <w:tcW w:w="2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C5BF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Calibri" w:hAnsi="Calibri" w:cs="Calibri"/>
                <w:color w:val="000000"/>
                <w:sz w:val="24"/>
                <w:szCs w:val="24"/>
                <w:bdr w:val="none" w:color="auto" w:sz="0" w:space="0"/>
              </w:rPr>
              <w:t>生产准备费</w:t>
            </w:r>
          </w:p>
        </w:tc>
        <w:tc>
          <w:tcPr>
            <w:tcW w:w="5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064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4"/>
                <w:szCs w:val="24"/>
                <w:bdr w:val="none" w:color="auto" w:sz="0" w:space="0"/>
              </w:rPr>
              <w:t>设备安装调试完毕通过整套启动试运行验收</w:t>
            </w:r>
            <w:r>
              <w:rPr>
                <w:rFonts w:hint="default" w:ascii="Calibri" w:hAnsi="Calibri" w:cs="Calibri"/>
                <w:color w:val="000000"/>
                <w:sz w:val="24"/>
                <w:szCs w:val="24"/>
                <w:bdr w:val="none" w:color="auto" w:sz="0" w:space="0"/>
              </w:rPr>
              <w:t>支付到【 】，</w:t>
            </w:r>
            <w:r>
              <w:rPr>
                <w:rFonts w:hint="eastAsia" w:ascii="宋体" w:hAnsi="宋体" w:eastAsia="宋体" w:cs="宋体"/>
                <w:color w:val="000000"/>
                <w:sz w:val="24"/>
                <w:szCs w:val="24"/>
                <w:bdr w:val="none" w:color="auto" w:sz="0" w:space="0"/>
              </w:rPr>
              <w:t>设备试运行结束并通过移交生产验收【 】</w:t>
            </w:r>
          </w:p>
        </w:tc>
      </w:tr>
    </w:tbl>
    <w:p w14:paraId="1D4A8E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每笔款项支付前，在每项付款达到该项总额的【 】前提供全额增值税专用发票（增值税税率【 】，承包人应按照结算款项金额向发包人提供符合税务规定的法定税率的增值税专用发票</w:t>
      </w:r>
      <w:r>
        <w:rPr>
          <w:rFonts w:hint="eastAsia" w:ascii="宋体" w:hAnsi="宋体" w:eastAsia="宋体" w:cs="宋体"/>
          <w:color w:val="000000"/>
          <w:sz w:val="24"/>
          <w:szCs w:val="24"/>
        </w:rPr>
        <w:t>，发包人在收到承包人提供的合格增值税专用发票后支付款项）。</w:t>
      </w:r>
    </w:p>
    <w:p w14:paraId="2DEB01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17.4 质量保证金</w:t>
      </w:r>
    </w:p>
    <w:p w14:paraId="3AD365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质保金的支付：工程完工移交证书颁发、质保期满一年、质量缺陷整改完毕、工程审计结束、竣工验收结束、取得质保验收证书后无息支付，不免除承包人法定质量保质期义务。</w:t>
      </w:r>
    </w:p>
    <w:p w14:paraId="7A9545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17.4.1.1 建筑安装工程（含施工辅助工程）的质量保证金为建筑安装工程（含施工辅助工程）总结算价的【 】。</w:t>
      </w:r>
    </w:p>
    <w:p w14:paraId="3AF5F9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17.4.1.2 设备采购费的质量保证金为相应设备购置金额的【 】。</w:t>
      </w:r>
    </w:p>
    <w:p w14:paraId="3CDDE2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17.4.1.3勘察设计服务和总承包服务的质量保证金为该项服务费结算价的【 】。其他服务费不设质保金。</w:t>
      </w:r>
    </w:p>
    <w:p w14:paraId="171AD0F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17.5 竣工结算</w:t>
      </w:r>
    </w:p>
    <w:p w14:paraId="17F715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17.5.1 竣工付款申请单</w:t>
      </w:r>
    </w:p>
    <w:p w14:paraId="6275586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（1）承包人向监理人提交竣工付款申请单的份数和期限：工程完工后【 】天内，承包人应向监理人和发包人提交竣（完）工结算资料一式</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份。</w:t>
      </w:r>
    </w:p>
    <w:p w14:paraId="3A58DE1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（2）执行通用条款</w:t>
      </w:r>
    </w:p>
    <w:p w14:paraId="32A6D64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本条增加（3）、（4）项：</w:t>
      </w:r>
    </w:p>
    <w:p w14:paraId="15C6D8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监理人对承包人提交的修正后的竣工付款申请单仍有异议的，承包人应当按监理人的要求重新修正。如果承包人拒绝再次修正或监理人对再次修正后的结果仍持不同意见的，由发包人委托第三方造价咨询单位进行造价审核，以工程造价审核结果进行结算。</w:t>
      </w:r>
    </w:p>
    <w:p w14:paraId="087267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承包人提交的竣工付款申请单，经监理人审定后，发包人有异议的，由承包人进行修正或者协商调整，双方无法达成一致意见的，由发包人委托第三方造价咨询单位进行造价审核，以工程造价审核结果进行结算。</w:t>
      </w:r>
    </w:p>
    <w:p w14:paraId="624950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本条增加17.5.3、17.5.4两项内容：</w:t>
      </w:r>
    </w:p>
    <w:p w14:paraId="45BFD6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17.5.3 承包人按发包人的要求认真完成竣（完）工结算工作，在每个分部工程完成后均应做好该项的完工结算报表及资料交审，在单位、单项工程的标段全部完成后及时汇总办理竣（完）工结算；承包人未在规定时间内提交竣（完）工结算文件或承包人竣（完）工资料上报不全时，经发包人催促后14天内仍未提交或没有明确答复，发包人将只对已有资料进行竣（完）工结算审核，承包人必须认可，且由此造成的损失由承包人承担。发包人在收到承包人提交的竣（完）工结算文件后应及时审核，发包人将委托有资质的造价咨询机构审核竣（完）工结算，承包人应对其编制的竣（完）工结算文件的准确性负责。</w:t>
      </w:r>
    </w:p>
    <w:p w14:paraId="7A532C6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17.5.4承包人应配合国家审计，执行审计结果。承包人配合发包人的内部审计工作，在审计完成后进行完工结算。</w:t>
      </w:r>
    </w:p>
    <w:p w14:paraId="787C06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增加第17.7条</w:t>
      </w:r>
    </w:p>
    <w:p w14:paraId="76182A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17.7 增值税专用发票</w:t>
      </w:r>
    </w:p>
    <w:p w14:paraId="7993E6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承包人应按照结算款项金额向发包人提供符合税务规定的增值税专用发票，发包人在收到承包人提供的合格增值税专用发票后支付款项，承包人逾期开具增值税专用发票的，发包人有权顺延相应款项的付款期限，且不承担违约责任。</w:t>
      </w:r>
    </w:p>
    <w:p w14:paraId="7ABC24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（2）承包人应确保增值税专用发票真实、规范、合法，如承包人虚开或提供不合格的增值税专用发票，造成发包人经济损失的，承包人承担全部赔偿责任，并重新向发包人开具符合规定的增值税专用发票。</w:t>
      </w:r>
    </w:p>
    <w:p w14:paraId="0A8ADF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合同变更如涉及增值税专用发票记载项目发生变化的，应当约定作废、重开、补开、红字开具增值税专用发票。如果收票方取得增值税专用发票尚未认证抵扣，收票方应在开票之日起360天内退回原发票，则可以由开票方作废原发票，重新开具增值税专用发票；如果原增值税专用发票已经认证抵扣，则由开票方就合同增加的金额补开增值税专用发票，就减少的金额依据收票方提供的红字发票信息表开具红字增值税专用发票。</w:t>
      </w:r>
    </w:p>
    <w:p w14:paraId="7D6EC12C">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（4）如遇国家税率政策变化，按最新规定执行</w:t>
      </w:r>
      <w:r>
        <w:rPr>
          <w:rFonts w:hint="default" w:ascii="Arial" w:hAnsi="Arial" w:cs="Arial"/>
          <w:b/>
          <w:bCs/>
          <w:color w:val="000000"/>
          <w:sz w:val="24"/>
          <w:szCs w:val="24"/>
        </w:rPr>
        <w:t>。</w:t>
      </w:r>
    </w:p>
    <w:p w14:paraId="5A9B6D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729" w:name="_Toc24121"/>
      <w:bookmarkStart w:id="730" w:name="_Toc31261"/>
      <w:bookmarkStart w:id="731" w:name="_Toc67789019"/>
      <w:bookmarkStart w:id="732" w:name="_Toc27560"/>
      <w:bookmarkStart w:id="733" w:name="_Toc2497"/>
      <w:bookmarkStart w:id="734" w:name="_Toc2254"/>
      <w:bookmarkStart w:id="735" w:name="_Toc15086"/>
      <w:bookmarkStart w:id="736" w:name="_Toc79760378"/>
      <w:bookmarkStart w:id="737" w:name="_Toc1681"/>
      <w:bookmarkStart w:id="738" w:name="_Toc5302"/>
      <w:r>
        <w:rPr>
          <w:rFonts w:hint="eastAsia" w:ascii="黑体" w:hAnsi="宋体" w:eastAsia="黑体" w:cs="黑体"/>
          <w:color w:val="000000"/>
          <w:sz w:val="28"/>
          <w:szCs w:val="28"/>
        </w:rPr>
        <w:t>18．竣工试验和竣工验收</w:t>
      </w:r>
      <w:bookmarkEnd w:id="729"/>
      <w:bookmarkEnd w:id="730"/>
      <w:bookmarkEnd w:id="731"/>
      <w:bookmarkEnd w:id="732"/>
      <w:bookmarkEnd w:id="733"/>
      <w:bookmarkEnd w:id="734"/>
      <w:bookmarkEnd w:id="735"/>
      <w:bookmarkEnd w:id="736"/>
      <w:bookmarkEnd w:id="737"/>
      <w:bookmarkEnd w:id="738"/>
    </w:p>
    <w:p w14:paraId="4C5913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39" w:name="_Toc8533"/>
      <w:r>
        <w:rPr>
          <w:rFonts w:hint="eastAsia" w:ascii="宋体" w:hAnsi="宋体" w:eastAsia="宋体" w:cs="宋体"/>
          <w:color w:val="000000"/>
          <w:sz w:val="24"/>
          <w:szCs w:val="24"/>
        </w:rPr>
        <w:t>18.9 竣工后试验</w:t>
      </w:r>
      <w:bookmarkEnd w:id="739"/>
    </w:p>
    <w:p w14:paraId="4455429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竣工后试验执行通用条款竣工后试验（B）。</w:t>
      </w:r>
    </w:p>
    <w:p w14:paraId="4774C4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40" w:name="_Toc79760379"/>
      <w:r>
        <w:rPr>
          <w:rFonts w:hint="eastAsia" w:ascii="宋体" w:hAnsi="宋体" w:eastAsia="宋体" w:cs="宋体"/>
          <w:color w:val="000000"/>
          <w:sz w:val="24"/>
          <w:szCs w:val="24"/>
        </w:rPr>
        <w:t>增加第18.10条</w:t>
      </w:r>
      <w:bookmarkEnd w:id="740"/>
    </w:p>
    <w:p w14:paraId="57D71D1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18.10竣工试验和竣工验收执行标准</w:t>
      </w:r>
    </w:p>
    <w:p w14:paraId="78B45D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Times New Roman" w:hAnsi="Times New Roman" w:cs="Times New Roman"/>
          <w:color w:val="0000FF"/>
          <w:sz w:val="24"/>
          <w:szCs w:val="24"/>
        </w:rPr>
        <w:t>按照《光伏发电工程验收规范》（GB/T 50796-2012）、GB/T 39854-2021《光伏发电站性能评估技术规范》、GB/T 39857-2021《光伏发电效率技术规范》规定执行。</w:t>
      </w:r>
    </w:p>
    <w:p w14:paraId="37088F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741" w:name="_Toc24376"/>
      <w:bookmarkStart w:id="742" w:name="_Toc1441"/>
      <w:bookmarkStart w:id="743" w:name="_Toc31655"/>
      <w:bookmarkStart w:id="744" w:name="_Toc13731"/>
      <w:bookmarkStart w:id="745" w:name="_Toc67789020"/>
      <w:bookmarkStart w:id="746" w:name="_Toc14870"/>
      <w:bookmarkStart w:id="747" w:name="_Toc79760380"/>
      <w:bookmarkStart w:id="748" w:name="_Toc17905"/>
      <w:bookmarkStart w:id="749" w:name="_Toc20665"/>
      <w:r>
        <w:rPr>
          <w:rFonts w:hint="eastAsia" w:ascii="黑体" w:hAnsi="宋体" w:eastAsia="黑体" w:cs="黑体"/>
          <w:color w:val="000000"/>
          <w:sz w:val="28"/>
          <w:szCs w:val="28"/>
        </w:rPr>
        <w:t>19.缺陷责任与保修责任</w:t>
      </w:r>
      <w:bookmarkEnd w:id="741"/>
      <w:bookmarkEnd w:id="742"/>
      <w:bookmarkEnd w:id="743"/>
      <w:bookmarkEnd w:id="744"/>
      <w:bookmarkEnd w:id="745"/>
      <w:bookmarkEnd w:id="746"/>
      <w:bookmarkEnd w:id="747"/>
      <w:bookmarkEnd w:id="748"/>
      <w:bookmarkEnd w:id="749"/>
    </w:p>
    <w:p w14:paraId="4F4F4C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750" w:name="_Toc6016"/>
      <w:bookmarkStart w:id="751" w:name="_Toc18553"/>
      <w:r>
        <w:rPr>
          <w:rFonts w:hint="eastAsia" w:ascii="宋体" w:hAnsi="宋体" w:eastAsia="宋体" w:cs="宋体"/>
          <w:color w:val="000000"/>
          <w:sz w:val="24"/>
          <w:szCs w:val="24"/>
        </w:rPr>
        <w:t>19.3 缺陷责任期的延长</w:t>
      </w:r>
      <w:bookmarkEnd w:id="750"/>
      <w:bookmarkEnd w:id="751"/>
    </w:p>
    <w:p w14:paraId="405DC8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752" w:name="_Toc24933"/>
      <w:bookmarkStart w:id="753" w:name="_Toc4467"/>
      <w:r>
        <w:rPr>
          <w:rFonts w:hint="eastAsia" w:ascii="宋体" w:hAnsi="宋体" w:eastAsia="宋体" w:cs="宋体"/>
          <w:color w:val="000000"/>
          <w:sz w:val="24"/>
          <w:szCs w:val="24"/>
        </w:rPr>
        <w:t>不适用通用条款，适用以下专用条款：由于承包人原因造成某项缺陷或损坏使某项工程或工程设备不能按原定目标使用而需要再次检查、检验和修复的，发包人有权要求承包人相应延长缺陷责任期。</w:t>
      </w:r>
      <w:bookmarkEnd w:id="752"/>
      <w:bookmarkEnd w:id="753"/>
    </w:p>
    <w:p w14:paraId="5DFA4B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54" w:name="_Toc2569"/>
      <w:bookmarkStart w:id="755" w:name="_Toc12940"/>
      <w:r>
        <w:rPr>
          <w:rFonts w:hint="eastAsia" w:ascii="宋体" w:hAnsi="宋体" w:eastAsia="宋体" w:cs="宋体"/>
          <w:color w:val="000000"/>
          <w:sz w:val="24"/>
          <w:szCs w:val="24"/>
        </w:rPr>
        <w:t>19.7保修责任</w:t>
      </w:r>
      <w:bookmarkEnd w:id="754"/>
      <w:bookmarkEnd w:id="755"/>
    </w:p>
    <w:p w14:paraId="0F12D2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56" w:name="_Toc8598"/>
      <w:bookmarkStart w:id="757" w:name="_Toc25054"/>
      <w:r>
        <w:rPr>
          <w:rFonts w:hint="eastAsia" w:ascii="宋体" w:hAnsi="宋体" w:eastAsia="宋体" w:cs="宋体"/>
          <w:color w:val="000000"/>
          <w:sz w:val="24"/>
          <w:szCs w:val="24"/>
        </w:rPr>
        <w:t>19.7.1组件质量保修期为十年，逆变器质量保修期为五年，其他设备质量保修期为两年。</w:t>
      </w:r>
      <w:bookmarkEnd w:id="756"/>
      <w:bookmarkEnd w:id="757"/>
    </w:p>
    <w:p w14:paraId="63D03D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58" w:name="_Toc31320"/>
      <w:bookmarkStart w:id="759" w:name="_Toc9074"/>
      <w:r>
        <w:rPr>
          <w:rFonts w:hint="eastAsia" w:ascii="宋体" w:hAnsi="宋体" w:eastAsia="宋体" w:cs="宋体"/>
          <w:color w:val="000000"/>
          <w:sz w:val="24"/>
          <w:szCs w:val="24"/>
        </w:rPr>
        <w:t>19.7.2建筑安装工程质量保修期为从工程接收证书签发之日起1年。国家法律法规明确规定质量保修期大于上述约定的，不免除承包人的法定质量保证责任。</w:t>
      </w:r>
      <w:bookmarkEnd w:id="758"/>
      <w:bookmarkEnd w:id="759"/>
    </w:p>
    <w:p w14:paraId="62AEB1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760" w:name="_Toc23934"/>
      <w:bookmarkStart w:id="761" w:name="_Toc67789021"/>
      <w:bookmarkStart w:id="762" w:name="_Toc79760382"/>
      <w:bookmarkStart w:id="763" w:name="_Toc23041"/>
      <w:bookmarkStart w:id="764" w:name="_Toc3468"/>
      <w:bookmarkStart w:id="765" w:name="_Toc3130"/>
      <w:bookmarkStart w:id="766" w:name="_Toc23267"/>
      <w:bookmarkStart w:id="767" w:name="_Toc10716"/>
      <w:bookmarkStart w:id="768" w:name="_Toc12804"/>
      <w:bookmarkStart w:id="769" w:name="_Toc2916"/>
      <w:r>
        <w:rPr>
          <w:rFonts w:hint="eastAsia" w:ascii="黑体" w:hAnsi="宋体" w:eastAsia="黑体" w:cs="黑体"/>
          <w:color w:val="000000"/>
          <w:sz w:val="28"/>
          <w:szCs w:val="28"/>
        </w:rPr>
        <w:t>20．保险</w:t>
      </w:r>
      <w:bookmarkEnd w:id="760"/>
      <w:bookmarkEnd w:id="761"/>
      <w:bookmarkEnd w:id="762"/>
      <w:bookmarkEnd w:id="763"/>
      <w:bookmarkEnd w:id="764"/>
      <w:bookmarkEnd w:id="765"/>
      <w:bookmarkEnd w:id="766"/>
      <w:bookmarkEnd w:id="767"/>
      <w:bookmarkEnd w:id="768"/>
      <w:bookmarkEnd w:id="769"/>
    </w:p>
    <w:p w14:paraId="1182BF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770" w:name="_Toc27238"/>
      <w:bookmarkStart w:id="771" w:name="_Toc79760383"/>
      <w:bookmarkStart w:id="772" w:name="_Toc25762"/>
      <w:bookmarkStart w:id="773" w:name="_Toc16157"/>
      <w:r>
        <w:rPr>
          <w:rFonts w:hint="eastAsia" w:ascii="宋体" w:hAnsi="宋体" w:eastAsia="宋体" w:cs="宋体"/>
          <w:color w:val="000000"/>
          <w:sz w:val="24"/>
          <w:szCs w:val="24"/>
        </w:rPr>
        <w:t>20.1 设计和工程保险</w:t>
      </w:r>
      <w:bookmarkEnd w:id="770"/>
      <w:bookmarkEnd w:id="771"/>
      <w:bookmarkEnd w:id="772"/>
      <w:bookmarkEnd w:id="773"/>
    </w:p>
    <w:p w14:paraId="53E6FB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74" w:name="_Toc12769"/>
      <w:bookmarkStart w:id="775" w:name="_Toc15104"/>
      <w:r>
        <w:rPr>
          <w:rFonts w:hint="eastAsia" w:ascii="宋体" w:hAnsi="宋体" w:eastAsia="宋体" w:cs="宋体"/>
          <w:color w:val="000000"/>
          <w:sz w:val="24"/>
          <w:szCs w:val="24"/>
        </w:rPr>
        <w:t>20.1.1本工程建安工程一切险、第三者责任险由承包人投保。设计责任险由承包人按相关规定投保。</w:t>
      </w:r>
      <w:bookmarkEnd w:id="774"/>
      <w:bookmarkEnd w:id="775"/>
    </w:p>
    <w:p w14:paraId="24F26C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76" w:name="_Toc23183"/>
      <w:bookmarkStart w:id="777" w:name="_Toc21536"/>
      <w:bookmarkStart w:id="778" w:name="_Toc79760384"/>
      <w:r>
        <w:rPr>
          <w:rFonts w:hint="eastAsia" w:ascii="宋体" w:hAnsi="宋体" w:eastAsia="宋体" w:cs="宋体"/>
          <w:color w:val="000000"/>
          <w:sz w:val="24"/>
          <w:szCs w:val="24"/>
        </w:rPr>
        <w:t>20.2 工伤保险</w:t>
      </w:r>
      <w:bookmarkEnd w:id="776"/>
      <w:bookmarkEnd w:id="777"/>
      <w:bookmarkEnd w:id="778"/>
    </w:p>
    <w:p w14:paraId="31879F4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79" w:name="_Toc22386"/>
      <w:bookmarkStart w:id="780" w:name="_Toc16227"/>
      <w:r>
        <w:rPr>
          <w:rFonts w:hint="eastAsia" w:ascii="宋体" w:hAnsi="宋体" w:eastAsia="宋体" w:cs="宋体"/>
          <w:color w:val="000000"/>
          <w:sz w:val="24"/>
          <w:szCs w:val="24"/>
        </w:rPr>
        <w:t>20.2.1 承包人员工伤保险</w:t>
      </w:r>
      <w:bookmarkEnd w:id="779"/>
      <w:bookmarkEnd w:id="780"/>
    </w:p>
    <w:p w14:paraId="7E1FF4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81" w:name="_Toc4963"/>
      <w:bookmarkStart w:id="782" w:name="_Toc17270"/>
      <w:r>
        <w:rPr>
          <w:rFonts w:hint="eastAsia" w:ascii="宋体" w:hAnsi="宋体" w:eastAsia="宋体" w:cs="宋体"/>
          <w:color w:val="000000"/>
          <w:sz w:val="24"/>
          <w:szCs w:val="24"/>
        </w:rPr>
        <w:t>承包人应依照有关法律规定，为其履行合同所雇佣的全部人员投保工伤保险，缴纳工伤保险费，并要求其分包人也投保此项保险。</w:t>
      </w:r>
      <w:bookmarkEnd w:id="781"/>
      <w:bookmarkEnd w:id="782"/>
    </w:p>
    <w:p w14:paraId="72CADD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83" w:name="_Toc26874"/>
      <w:bookmarkStart w:id="784" w:name="_Toc79760385"/>
      <w:bookmarkStart w:id="785" w:name="_Toc16655"/>
      <w:r>
        <w:rPr>
          <w:rFonts w:hint="eastAsia" w:ascii="宋体" w:hAnsi="宋体" w:eastAsia="宋体" w:cs="宋体"/>
          <w:color w:val="000000"/>
          <w:sz w:val="24"/>
          <w:szCs w:val="24"/>
        </w:rPr>
        <w:t>20.3 人身意外伤害险</w:t>
      </w:r>
      <w:bookmarkEnd w:id="783"/>
      <w:bookmarkEnd w:id="784"/>
      <w:bookmarkEnd w:id="785"/>
    </w:p>
    <w:p w14:paraId="167E1E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86" w:name="_Toc31390"/>
      <w:bookmarkStart w:id="787" w:name="_Toc1609"/>
      <w:r>
        <w:rPr>
          <w:rFonts w:hint="eastAsia" w:ascii="宋体" w:hAnsi="宋体" w:eastAsia="宋体" w:cs="宋体"/>
          <w:color w:val="000000"/>
          <w:sz w:val="24"/>
          <w:szCs w:val="24"/>
        </w:rPr>
        <w:t>20.3.2 承包人应在整个施工期间为其现场机构雇用的全部人员，投保人身意外伤害险，缴纳保险费，并要求其分包人也进行此项保险。</w:t>
      </w:r>
      <w:bookmarkEnd w:id="786"/>
      <w:bookmarkEnd w:id="787"/>
    </w:p>
    <w:p w14:paraId="5094284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88" w:name="_Toc13247"/>
      <w:bookmarkStart w:id="789" w:name="_Toc79760386"/>
      <w:bookmarkStart w:id="790" w:name="_Toc14569"/>
      <w:r>
        <w:rPr>
          <w:rFonts w:hint="eastAsia" w:ascii="宋体" w:hAnsi="宋体" w:eastAsia="宋体" w:cs="宋体"/>
          <w:color w:val="000000"/>
          <w:sz w:val="24"/>
          <w:szCs w:val="24"/>
        </w:rPr>
        <w:t>20.4 其他保险</w:t>
      </w:r>
      <w:bookmarkEnd w:id="788"/>
      <w:bookmarkEnd w:id="789"/>
      <w:bookmarkEnd w:id="790"/>
    </w:p>
    <w:p w14:paraId="270934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91" w:name="_Toc25873"/>
      <w:bookmarkStart w:id="792" w:name="_Toc20065"/>
      <w:r>
        <w:rPr>
          <w:rFonts w:hint="eastAsia" w:ascii="宋体" w:hAnsi="宋体" w:eastAsia="宋体" w:cs="宋体"/>
          <w:color w:val="000000"/>
          <w:sz w:val="24"/>
          <w:szCs w:val="24"/>
        </w:rPr>
        <w:t>（1）承包人应为其施工设备、进场的材料和工程设备等投保运输一切险，保险费含在合同价格中。</w:t>
      </w:r>
      <w:bookmarkEnd w:id="791"/>
      <w:bookmarkEnd w:id="792"/>
    </w:p>
    <w:p w14:paraId="3CE90E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93" w:name="_Toc10612"/>
      <w:bookmarkStart w:id="794" w:name="_Toc1566"/>
      <w:r>
        <w:rPr>
          <w:rFonts w:hint="eastAsia" w:ascii="宋体" w:hAnsi="宋体" w:eastAsia="宋体" w:cs="宋体"/>
          <w:color w:val="000000"/>
          <w:sz w:val="24"/>
          <w:szCs w:val="24"/>
        </w:rPr>
        <w:t>（2）承包人应为自己提供的施工机具购买保险。保险费含在合同价格中。</w:t>
      </w:r>
      <w:bookmarkEnd w:id="793"/>
      <w:bookmarkEnd w:id="794"/>
    </w:p>
    <w:p w14:paraId="682533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95" w:name="_Toc18406"/>
      <w:bookmarkStart w:id="796" w:name="_Toc13805"/>
      <w:r>
        <w:rPr>
          <w:rFonts w:hint="eastAsia" w:ascii="宋体" w:hAnsi="宋体" w:eastAsia="宋体" w:cs="宋体"/>
          <w:color w:val="000000"/>
          <w:sz w:val="24"/>
          <w:szCs w:val="24"/>
        </w:rPr>
        <w:t>（3）承包人认为购买的其他必要保险。保险费含在合同价格中。</w:t>
      </w:r>
      <w:bookmarkEnd w:id="795"/>
      <w:bookmarkEnd w:id="796"/>
    </w:p>
    <w:p w14:paraId="21D177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797" w:name="_Toc6041"/>
      <w:bookmarkStart w:id="798" w:name="_Toc5229"/>
      <w:bookmarkStart w:id="799" w:name="_Toc5931"/>
      <w:bookmarkStart w:id="800" w:name="_Toc79760387"/>
      <w:r>
        <w:rPr>
          <w:rFonts w:hint="eastAsia" w:ascii="宋体" w:hAnsi="宋体" w:eastAsia="宋体" w:cs="宋体"/>
          <w:color w:val="000000"/>
          <w:sz w:val="24"/>
          <w:szCs w:val="24"/>
        </w:rPr>
        <w:t>20.5 对各项保险的一般要求</w:t>
      </w:r>
      <w:bookmarkEnd w:id="797"/>
      <w:bookmarkEnd w:id="798"/>
      <w:bookmarkEnd w:id="799"/>
      <w:bookmarkEnd w:id="800"/>
    </w:p>
    <w:p w14:paraId="39D623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01" w:name="_Toc31931"/>
      <w:bookmarkStart w:id="802" w:name="_Toc8509"/>
      <w:r>
        <w:rPr>
          <w:rFonts w:hint="eastAsia" w:ascii="宋体" w:hAnsi="宋体" w:eastAsia="宋体" w:cs="宋体"/>
          <w:color w:val="000000"/>
          <w:sz w:val="24"/>
          <w:szCs w:val="24"/>
        </w:rPr>
        <w:t>20.5.1 保险凭证</w:t>
      </w:r>
      <w:bookmarkEnd w:id="801"/>
      <w:bookmarkEnd w:id="802"/>
    </w:p>
    <w:p w14:paraId="5A4B3A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03" w:name="_Toc29779"/>
      <w:bookmarkStart w:id="804" w:name="_Toc22163"/>
      <w:r>
        <w:rPr>
          <w:rFonts w:hint="eastAsia" w:ascii="宋体" w:hAnsi="宋体" w:eastAsia="宋体" w:cs="宋体"/>
          <w:color w:val="000000"/>
          <w:sz w:val="24"/>
          <w:szCs w:val="24"/>
        </w:rPr>
        <w:t>在各个期限内（从开工日期算起），承包人应向发包人提交：</w:t>
      </w:r>
      <w:bookmarkEnd w:id="803"/>
      <w:bookmarkEnd w:id="804"/>
    </w:p>
    <w:p w14:paraId="0C7A04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05" w:name="_Toc30275"/>
      <w:bookmarkStart w:id="806" w:name="_Toc23647"/>
      <w:r>
        <w:rPr>
          <w:rFonts w:hint="eastAsia" w:ascii="宋体" w:hAnsi="宋体" w:eastAsia="宋体" w:cs="宋体"/>
          <w:color w:val="000000"/>
          <w:sz w:val="24"/>
          <w:szCs w:val="24"/>
        </w:rPr>
        <w:t>（1）本条所述的应由承包人购买的保险已生效的证明；</w:t>
      </w:r>
      <w:bookmarkEnd w:id="805"/>
      <w:bookmarkEnd w:id="806"/>
    </w:p>
    <w:p w14:paraId="5C6D19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07" w:name="_Toc29885"/>
      <w:bookmarkStart w:id="808" w:name="_Toc8387"/>
      <w:r>
        <w:rPr>
          <w:rFonts w:hint="eastAsia" w:ascii="宋体" w:hAnsi="宋体" w:eastAsia="宋体" w:cs="宋体"/>
          <w:color w:val="000000"/>
          <w:sz w:val="24"/>
          <w:szCs w:val="24"/>
        </w:rPr>
        <w:t>（2）上述承包人购买的保险的保险单的副本。</w:t>
      </w:r>
      <w:bookmarkEnd w:id="807"/>
      <w:bookmarkEnd w:id="808"/>
    </w:p>
    <w:p w14:paraId="2AD7F7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09" w:name="_Toc15534"/>
      <w:bookmarkStart w:id="810" w:name="_Toc28962"/>
      <w:r>
        <w:rPr>
          <w:rFonts w:hint="eastAsia" w:ascii="宋体" w:hAnsi="宋体" w:eastAsia="宋体" w:cs="宋体"/>
          <w:color w:val="000000"/>
          <w:sz w:val="24"/>
          <w:szCs w:val="24"/>
        </w:rPr>
        <w:t>20.5.6 报告义务</w:t>
      </w:r>
      <w:bookmarkEnd w:id="809"/>
      <w:bookmarkEnd w:id="810"/>
    </w:p>
    <w:p w14:paraId="6328F0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11" w:name="_Toc8998"/>
      <w:bookmarkStart w:id="812" w:name="_Toc20886"/>
      <w:r>
        <w:rPr>
          <w:rFonts w:hint="eastAsia" w:ascii="宋体" w:hAnsi="宋体" w:eastAsia="宋体" w:cs="宋体"/>
          <w:color w:val="000000"/>
          <w:sz w:val="24"/>
          <w:szCs w:val="24"/>
        </w:rPr>
        <w:t>当保险事故发生时，承包人应及时向保险公司和发包人报告，并配合保险公司处理理赔相关事宜。</w:t>
      </w:r>
      <w:bookmarkEnd w:id="811"/>
      <w:bookmarkEnd w:id="812"/>
    </w:p>
    <w:p w14:paraId="0772DB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13" w:name="_Toc11118"/>
      <w:bookmarkStart w:id="814" w:name="_Toc11545"/>
      <w:bookmarkStart w:id="815" w:name="_Toc79760388"/>
      <w:r>
        <w:rPr>
          <w:rFonts w:hint="eastAsia" w:ascii="宋体" w:hAnsi="宋体" w:eastAsia="宋体" w:cs="宋体"/>
          <w:color w:val="000000"/>
          <w:sz w:val="24"/>
          <w:szCs w:val="24"/>
        </w:rPr>
        <w:t>20.6 其他要求</w:t>
      </w:r>
      <w:bookmarkEnd w:id="813"/>
      <w:bookmarkEnd w:id="814"/>
      <w:bookmarkEnd w:id="815"/>
    </w:p>
    <w:p w14:paraId="39CF70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16" w:name="_Toc3921"/>
      <w:bookmarkStart w:id="817" w:name="_Toc15310"/>
      <w:r>
        <w:rPr>
          <w:rFonts w:hint="eastAsia" w:ascii="宋体" w:hAnsi="宋体" w:eastAsia="宋体" w:cs="宋体"/>
          <w:color w:val="000000"/>
          <w:sz w:val="24"/>
          <w:szCs w:val="24"/>
        </w:rPr>
        <w:t>（1）本条保险相关规定不限制合同的其余条款或其他文件所规定的承包人或发包人的义务和责任。任何未保险或未能从承保人处收回的款额应由承包人相应负担。</w:t>
      </w:r>
      <w:bookmarkEnd w:id="816"/>
      <w:bookmarkEnd w:id="817"/>
    </w:p>
    <w:p w14:paraId="461B94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18" w:name="_Toc17018"/>
      <w:bookmarkStart w:id="819" w:name="_Toc19"/>
      <w:r>
        <w:rPr>
          <w:rFonts w:hint="eastAsia" w:ascii="宋体" w:hAnsi="宋体" w:eastAsia="宋体" w:cs="宋体"/>
          <w:color w:val="000000"/>
          <w:sz w:val="24"/>
          <w:szCs w:val="24"/>
        </w:rPr>
        <w:t>（2）发包人购买的建安一切险，仅为工程参与各方的风险保障；如因承包人原因导致风险事故发生，承包人应积极承担理赔相关责任，保险赔偿不足部分由承包人负责。</w:t>
      </w:r>
      <w:bookmarkEnd w:id="818"/>
      <w:bookmarkEnd w:id="819"/>
    </w:p>
    <w:p w14:paraId="792EAC4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20" w:name="_Toc11452"/>
      <w:bookmarkStart w:id="821" w:name="_Toc18045"/>
      <w:r>
        <w:rPr>
          <w:rFonts w:hint="eastAsia" w:ascii="宋体" w:hAnsi="宋体" w:eastAsia="宋体" w:cs="宋体"/>
          <w:color w:val="000000"/>
          <w:sz w:val="24"/>
          <w:szCs w:val="24"/>
        </w:rPr>
        <w:t>（3）上述各项应由承包人投保的保险费用已含入合同总价，发包人不再另行支付；发包人投保的建安一切险费用由发包人承担，承包人不应计入投标报价。</w:t>
      </w:r>
      <w:bookmarkEnd w:id="820"/>
      <w:bookmarkEnd w:id="821"/>
    </w:p>
    <w:p w14:paraId="42DF43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22" w:name="_Toc19552"/>
      <w:bookmarkStart w:id="823" w:name="_Toc16915"/>
      <w:r>
        <w:rPr>
          <w:rFonts w:hint="eastAsia" w:ascii="宋体" w:hAnsi="宋体" w:eastAsia="宋体" w:cs="宋体"/>
          <w:color w:val="000000"/>
          <w:sz w:val="24"/>
          <w:szCs w:val="24"/>
        </w:rPr>
        <w:t>（4）要求承包人在购买上述保险后将保险的合同文本和发票复印件报监理人和发包人备案、备核。</w:t>
      </w:r>
      <w:bookmarkEnd w:id="822"/>
      <w:bookmarkEnd w:id="823"/>
    </w:p>
    <w:p w14:paraId="1033B0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824" w:name="_Toc31084"/>
      <w:bookmarkStart w:id="825" w:name="_Toc1472"/>
      <w:bookmarkStart w:id="826" w:name="_Toc32156"/>
      <w:bookmarkStart w:id="827" w:name="_Toc10804"/>
      <w:bookmarkStart w:id="828" w:name="_Toc67789022"/>
      <w:bookmarkStart w:id="829" w:name="_Toc22764"/>
      <w:bookmarkStart w:id="830" w:name="_Toc8295"/>
      <w:r>
        <w:rPr>
          <w:rFonts w:hint="eastAsia" w:ascii="黑体" w:hAnsi="宋体" w:eastAsia="黑体" w:cs="黑体"/>
          <w:color w:val="000000"/>
          <w:sz w:val="28"/>
          <w:szCs w:val="28"/>
        </w:rPr>
        <w:t>21．不可抗力</w:t>
      </w:r>
      <w:bookmarkEnd w:id="824"/>
      <w:bookmarkEnd w:id="825"/>
      <w:bookmarkEnd w:id="826"/>
      <w:bookmarkEnd w:id="827"/>
      <w:bookmarkEnd w:id="828"/>
      <w:bookmarkEnd w:id="829"/>
      <w:bookmarkEnd w:id="830"/>
    </w:p>
    <w:p w14:paraId="5E7D9F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Calibri" w:hAnsi="Calibri" w:cs="Calibri"/>
          <w:color w:val="000000"/>
          <w:sz w:val="24"/>
          <w:szCs w:val="24"/>
        </w:rPr>
        <w:t>双方关于不可抗力的约定：由于不可抗力事件造成的对属于发包人所有的工程、设施、设备的损失或破坏由发包人承担。发包人、承包人双方应尽最大合理努力采取补救措施减少上述损失或破坏。承包人按照发包人要求补偿上述损失或破坏产生的合理费用，由双方本着公平、客观、合理的原则协商确定。需延长工期的，应经发包人、承包人双方共同确认；承包人无能力或未能按照发包人要求立即进行上述补救工作的，发包人可雇用第三方主体从事此项工作，在这种情况下，承包人无权要求增加合同价或对发包人提出任何索赔要求。由于不可抗力事件造成的承包人所有或使用的设施、设备等损失或破坏，由承包人承担。</w:t>
      </w:r>
    </w:p>
    <w:p w14:paraId="7CD81B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831" w:name="_Toc30510"/>
      <w:bookmarkStart w:id="832" w:name="_Toc22067"/>
      <w:bookmarkStart w:id="833" w:name="_Toc13625"/>
      <w:bookmarkStart w:id="834" w:name="_Toc67789023"/>
      <w:bookmarkStart w:id="835" w:name="_Toc31561"/>
      <w:bookmarkStart w:id="836" w:name="_Toc26384"/>
      <w:bookmarkStart w:id="837" w:name="_Toc19232"/>
      <w:bookmarkStart w:id="838" w:name="_Toc2741"/>
      <w:r>
        <w:rPr>
          <w:rFonts w:hint="eastAsia" w:ascii="黑体" w:hAnsi="宋体" w:eastAsia="黑体" w:cs="黑体"/>
          <w:color w:val="000000"/>
          <w:sz w:val="28"/>
          <w:szCs w:val="28"/>
        </w:rPr>
        <w:t>22．违约</w:t>
      </w:r>
      <w:bookmarkEnd w:id="831"/>
      <w:bookmarkEnd w:id="832"/>
      <w:bookmarkEnd w:id="833"/>
      <w:bookmarkEnd w:id="834"/>
      <w:bookmarkEnd w:id="835"/>
      <w:bookmarkEnd w:id="836"/>
      <w:bookmarkEnd w:id="837"/>
      <w:bookmarkEnd w:id="838"/>
    </w:p>
    <w:p w14:paraId="4D1FEC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39" w:name="_Toc1429"/>
      <w:bookmarkStart w:id="840" w:name="_Toc7665"/>
      <w:r>
        <w:rPr>
          <w:rFonts w:hint="eastAsia" w:ascii="宋体" w:hAnsi="宋体" w:eastAsia="宋体" w:cs="宋体"/>
          <w:color w:val="000000"/>
          <w:sz w:val="24"/>
          <w:szCs w:val="24"/>
        </w:rPr>
        <w:t>22.1 承包人违约</w:t>
      </w:r>
      <w:bookmarkEnd w:id="839"/>
      <w:bookmarkEnd w:id="840"/>
    </w:p>
    <w:p w14:paraId="076F00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41" w:name="_Toc31677"/>
      <w:bookmarkStart w:id="842" w:name="_Toc8337"/>
      <w:r>
        <w:rPr>
          <w:rFonts w:hint="eastAsia" w:ascii="宋体" w:hAnsi="宋体" w:eastAsia="宋体" w:cs="宋体"/>
          <w:color w:val="000000"/>
          <w:sz w:val="24"/>
          <w:szCs w:val="24"/>
        </w:rPr>
        <w:t>22.1.2 对承包人违约的处理</w:t>
      </w:r>
      <w:bookmarkEnd w:id="841"/>
      <w:bookmarkEnd w:id="842"/>
    </w:p>
    <w:p w14:paraId="31BCF1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43" w:name="_Toc15307"/>
      <w:bookmarkStart w:id="844" w:name="_Toc24201"/>
      <w:r>
        <w:rPr>
          <w:rFonts w:hint="eastAsia" w:ascii="宋体" w:hAnsi="宋体" w:eastAsia="宋体" w:cs="宋体"/>
          <w:color w:val="000000"/>
          <w:sz w:val="24"/>
          <w:szCs w:val="24"/>
        </w:rPr>
        <w:t>（1）承包人违反通用条款22.1.1款（1）、（2）（8）约定，视为根本性违约，发包人有权单方面解除合同，同时承包人应该向发包人承担工程合同总价5%的违约金，该违约金不足以弥补纠纷处理期间增加的资金财务费用、管理费用以及再次招标费用等直接损失的，承包人还应负责继续赔偿。</w:t>
      </w:r>
      <w:bookmarkEnd w:id="843"/>
      <w:bookmarkEnd w:id="844"/>
    </w:p>
    <w:p w14:paraId="1F3CD4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45" w:name="_Toc13441"/>
      <w:bookmarkStart w:id="846" w:name="_Toc12234"/>
      <w:r>
        <w:rPr>
          <w:rFonts w:hint="eastAsia" w:ascii="宋体" w:hAnsi="宋体" w:eastAsia="宋体" w:cs="宋体"/>
          <w:color w:val="000000"/>
          <w:sz w:val="24"/>
          <w:szCs w:val="24"/>
        </w:rPr>
        <w:t>（2）本合同通用条款第22.1.1款（3）、（4）（6）（7）约定承包人违约承担的违约责任：按10000元/次支付违约金，但累计最高不超过工程合同总价的5%；同时发包人有权委托第三方处理承包人未完成的事项，相关费用从承包人合同款中扣除，且承包人须赔偿由此造成的发包人损失。</w:t>
      </w:r>
      <w:bookmarkEnd w:id="845"/>
      <w:bookmarkEnd w:id="846"/>
    </w:p>
    <w:p w14:paraId="6751A0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47" w:name="_Toc12999"/>
      <w:bookmarkStart w:id="848" w:name="_Toc4128"/>
      <w:r>
        <w:rPr>
          <w:rFonts w:hint="eastAsia" w:ascii="宋体" w:hAnsi="宋体" w:eastAsia="宋体" w:cs="宋体"/>
          <w:color w:val="000000"/>
          <w:sz w:val="24"/>
          <w:szCs w:val="24"/>
        </w:rPr>
        <w:t>（3）承包人违反本合同通用条款第22.1.1（5）的约定，造成或预期造成工期延误，经发包人或者监理人发出整改通知28天后，承包人仍不纠正违约行为的，发包人可向承包人发出解除合同通知，既可以全部解除，也可以部分解除。部分解除的，发包人有权将部分工程量调整给其他施工单位实施，并相应扣减该部分工程价款。发包人采取的措施并不减轻或者免除承包人继续履行合同的义务和应承担的违约责任，导致工程进度延误的，应当按照第11.5条约定承担逾期投产违约金。</w:t>
      </w:r>
      <w:bookmarkEnd w:id="847"/>
      <w:bookmarkEnd w:id="848"/>
    </w:p>
    <w:p w14:paraId="6D5F23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49" w:name="_Toc23168"/>
      <w:bookmarkStart w:id="850" w:name="_Toc32044"/>
      <w:r>
        <w:rPr>
          <w:rFonts w:hint="eastAsia" w:ascii="宋体" w:hAnsi="宋体" w:eastAsia="宋体" w:cs="宋体"/>
          <w:color w:val="000000"/>
          <w:sz w:val="24"/>
          <w:szCs w:val="24"/>
        </w:rPr>
        <w:t>（4）双方约定的承包人其他违约责任：承包人在施工过程中对发包单位和监理人合理合法管理指令不予执行或执行不力的，承包人需向发包人以10000元/次支付违约金。</w:t>
      </w:r>
      <w:bookmarkEnd w:id="849"/>
      <w:bookmarkEnd w:id="850"/>
    </w:p>
    <w:p w14:paraId="7B5561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51" w:name="_Toc21112"/>
      <w:bookmarkStart w:id="852" w:name="_Toc703"/>
      <w:r>
        <w:rPr>
          <w:rFonts w:hint="eastAsia" w:ascii="宋体" w:hAnsi="宋体" w:eastAsia="宋体" w:cs="宋体"/>
          <w:color w:val="000000"/>
          <w:sz w:val="24"/>
          <w:szCs w:val="24"/>
        </w:rPr>
        <w:t>（5）若承包人违约或造成质量事故，按照国家相关法律法规承担相应的赔偿责任，发包人及上级单位可根据内部管理制度将其列入不合格承包商。</w:t>
      </w:r>
      <w:bookmarkEnd w:id="851"/>
      <w:bookmarkEnd w:id="852"/>
    </w:p>
    <w:p w14:paraId="6D1544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53" w:name="_Toc22931"/>
      <w:bookmarkStart w:id="854" w:name="_Toc26258"/>
      <w:r>
        <w:rPr>
          <w:rFonts w:hint="eastAsia" w:ascii="宋体" w:hAnsi="宋体" w:eastAsia="宋体" w:cs="宋体"/>
          <w:color w:val="000000"/>
          <w:sz w:val="24"/>
          <w:szCs w:val="24"/>
        </w:rPr>
        <w:t>（6）上述（3）、（4）（5）条中违约金累计上限不超过工程总价款的3%。本合同项下承包人承担违约金的总额不超过合同总价款的20%。上述所有违约惩罚和赔偿均不免除承包人根据合同应承担的任何责任。</w:t>
      </w:r>
      <w:bookmarkEnd w:id="853"/>
      <w:bookmarkEnd w:id="854"/>
    </w:p>
    <w:p w14:paraId="107878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22.2.1 发包人违约</w:t>
      </w:r>
    </w:p>
    <w:p w14:paraId="62AD2D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发包人存在通用条款第22.2.1条约定的违约情形的，按如下约定处理：</w:t>
      </w:r>
    </w:p>
    <w:p w14:paraId="1D7728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发包人未能按合同约定支付任何一笔价款，或拖延、拒绝批准付款申请和支付凭证，导致付款延误等的，每逾期一天，应付未付金额的0.1%按日向承包人支付违约金，逾期支付超过56天的，按照应付未付金额的0.2%按日向承包人支付违约金，逾期违约金最高不超过签约合同总价的5%。</w:t>
      </w:r>
    </w:p>
    <w:p w14:paraId="2FB3BA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（2）本合同项下，发包人承担违约金的总额不超过合同总额的10%。</w:t>
      </w:r>
    </w:p>
    <w:p w14:paraId="69CACA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pPr>
      <w:r>
        <w:rPr>
          <w:rFonts w:hint="eastAsia" w:ascii="黑体" w:hAnsi="宋体" w:eastAsia="黑体" w:cs="黑体"/>
          <w:color w:val="000000"/>
          <w:sz w:val="28"/>
          <w:szCs w:val="28"/>
        </w:rPr>
        <w:t>24．争议的解决</w:t>
      </w:r>
    </w:p>
    <w:p w14:paraId="3B2B0D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55" w:name="_Toc9437"/>
      <w:bookmarkStart w:id="856" w:name="_Toc28637"/>
      <w:bookmarkStart w:id="857" w:name="_Toc21035"/>
      <w:r>
        <w:rPr>
          <w:rFonts w:hint="eastAsia" w:ascii="宋体" w:hAnsi="宋体" w:eastAsia="宋体" w:cs="宋体"/>
          <w:color w:val="000000"/>
          <w:sz w:val="24"/>
          <w:szCs w:val="24"/>
        </w:rPr>
        <w:t>24.1 争议的解决方式</w:t>
      </w:r>
      <w:bookmarkEnd w:id="855"/>
      <w:bookmarkEnd w:id="856"/>
      <w:bookmarkEnd w:id="857"/>
    </w:p>
    <w:p w14:paraId="6AA1E4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58" w:name="_Toc479558521"/>
      <w:bookmarkStart w:id="859" w:name="_Toc3979657"/>
      <w:bookmarkStart w:id="860" w:name="_Toc522250601"/>
      <w:bookmarkStart w:id="861" w:name="_Toc3636803"/>
      <w:bookmarkStart w:id="862" w:name="_Toc478892780"/>
      <w:bookmarkStart w:id="863" w:name="_Toc521924781"/>
      <w:bookmarkStart w:id="864" w:name="_Toc523825967"/>
      <w:bookmarkStart w:id="865" w:name="_Toc523542682"/>
      <w:bookmarkStart w:id="866" w:name="_Toc2071512"/>
      <w:bookmarkStart w:id="867" w:name="_Toc522618584"/>
      <w:bookmarkStart w:id="868" w:name="_Toc480258753"/>
      <w:bookmarkStart w:id="869" w:name="_Toc522250400"/>
      <w:bookmarkStart w:id="870" w:name="_Toc479500158"/>
      <w:bookmarkStart w:id="871" w:name="_Toc3908418"/>
      <w:bookmarkStart w:id="872" w:name="_Toc522940775"/>
      <w:bookmarkStart w:id="873" w:name="_Toc481739243"/>
      <w:bookmarkStart w:id="874" w:name="_Toc522249954"/>
      <w:bookmarkStart w:id="875" w:name="_Toc478809571"/>
      <w:bookmarkStart w:id="876" w:name="_Toc3831303"/>
      <w:bookmarkStart w:id="877" w:name="_Toc480258965"/>
      <w:bookmarkStart w:id="878" w:name="_Toc923727"/>
      <w:bookmarkStart w:id="879" w:name="_Toc4051020"/>
      <w:bookmarkStart w:id="880" w:name="_Toc3517677"/>
      <w:bookmarkStart w:id="881" w:name="_Toc479501214"/>
      <w:bookmarkStart w:id="882" w:name="_Toc481285945"/>
      <w:bookmarkStart w:id="883" w:name="_Toc478893265"/>
      <w:bookmarkStart w:id="884" w:name="_Toc479500845"/>
      <w:bookmarkStart w:id="885" w:name="_Toc521924580"/>
      <w:bookmarkStart w:id="886" w:name="_Toc479501054"/>
      <w:bookmarkStart w:id="887" w:name="_Toc1876192"/>
      <w:bookmarkStart w:id="888" w:name="_Toc1877097"/>
      <w:bookmarkStart w:id="889" w:name="_Toc254590921"/>
      <w:bookmarkStart w:id="890" w:name="_Toc3518153"/>
      <w:bookmarkStart w:id="891" w:name="_Toc3633654"/>
      <w:bookmarkStart w:id="892" w:name="_Toc522866682"/>
      <w:bookmarkStart w:id="893" w:name="_Toc4071331"/>
      <w:bookmarkStart w:id="894" w:name="_Toc1922"/>
      <w:bookmarkStart w:id="895" w:name="_Toc20807"/>
      <w:r>
        <w:rPr>
          <w:rFonts w:hint="eastAsia" w:ascii="宋体" w:hAnsi="宋体" w:eastAsia="宋体" w:cs="宋体"/>
          <w:color w:val="000000"/>
          <w:sz w:val="24"/>
          <w:szCs w:val="24"/>
        </w:rPr>
        <w:t>合同双方在履行合同中发生争议的，友好协商解决。协商不成的，诉讼解决，</w:t>
      </w:r>
      <w:bookmarkEnd w:id="858"/>
      <w:bookmarkEnd w:id="859"/>
      <w:bookmarkStart w:id="896" w:name="_Toc19125"/>
      <w:bookmarkStart w:id="897" w:name="_Toc3659"/>
      <w:r>
        <w:rPr>
          <w:rFonts w:hint="eastAsia" w:ascii="宋体" w:hAnsi="宋体" w:eastAsia="宋体" w:cs="宋体"/>
          <w:color w:val="000000"/>
          <w:sz w:val="24"/>
          <w:szCs w:val="24"/>
        </w:rPr>
        <w:t>诉讼地法院为项目所在地有管辖权的人民法院。</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477668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bookmarkStart w:id="898" w:name="_Toc12406"/>
      <w:bookmarkStart w:id="899" w:name="_Toc26390"/>
      <w:r>
        <w:rPr>
          <w:rFonts w:hint="eastAsia" w:ascii="宋体" w:hAnsi="宋体" w:eastAsia="宋体" w:cs="宋体"/>
          <w:color w:val="000000"/>
          <w:sz w:val="24"/>
          <w:szCs w:val="24"/>
        </w:rPr>
        <w:t>在诉讼期间，除正在进行诉讼的部分外，本合同的其他部分应继续执行。</w:t>
      </w:r>
      <w:bookmarkEnd w:id="898"/>
      <w:bookmarkEnd w:id="899"/>
    </w:p>
    <w:p w14:paraId="75314F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900" w:name="_Toc10234"/>
      <w:bookmarkStart w:id="901" w:name="_Toc28876"/>
      <w:bookmarkStart w:id="902" w:name="_Toc25153"/>
      <w:bookmarkStart w:id="903" w:name="_Toc67789025"/>
      <w:bookmarkStart w:id="904" w:name="_Toc16239"/>
      <w:bookmarkStart w:id="905" w:name="_Toc22416"/>
      <w:bookmarkStart w:id="906" w:name="_Toc10707"/>
      <w:bookmarkStart w:id="907" w:name="_Toc4838"/>
      <w:bookmarkStart w:id="908" w:name="_Toc26002"/>
      <w:r>
        <w:rPr>
          <w:rFonts w:hint="eastAsia" w:ascii="黑体" w:hAnsi="宋体" w:eastAsia="黑体" w:cs="黑体"/>
          <w:color w:val="000000"/>
          <w:sz w:val="28"/>
          <w:szCs w:val="28"/>
        </w:rPr>
        <w:t>25．补充条款</w:t>
      </w:r>
      <w:bookmarkEnd w:id="900"/>
      <w:bookmarkEnd w:id="901"/>
      <w:bookmarkEnd w:id="902"/>
      <w:bookmarkEnd w:id="903"/>
      <w:bookmarkEnd w:id="904"/>
      <w:bookmarkEnd w:id="905"/>
      <w:bookmarkEnd w:id="906"/>
      <w:bookmarkEnd w:id="907"/>
      <w:bookmarkEnd w:id="908"/>
    </w:p>
    <w:p w14:paraId="3CE7F4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2"/>
      </w:pPr>
      <w:bookmarkStart w:id="909" w:name="_Toc30164"/>
      <w:bookmarkStart w:id="910" w:name="_Toc31695"/>
      <w:bookmarkStart w:id="911" w:name="_Toc79760389"/>
      <w:r>
        <w:rPr>
          <w:rFonts w:hint="eastAsia" w:ascii="宋体" w:hAnsi="宋体" w:eastAsia="宋体" w:cs="宋体"/>
          <w:b/>
          <w:bCs/>
          <w:color w:val="000000"/>
          <w:sz w:val="24"/>
          <w:szCs w:val="24"/>
        </w:rPr>
        <w:t>25.1 补充要求</w:t>
      </w:r>
      <w:bookmarkEnd w:id="909"/>
      <w:bookmarkEnd w:id="910"/>
      <w:bookmarkEnd w:id="911"/>
    </w:p>
    <w:p w14:paraId="3FDC86E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12" w:name="_Toc28411"/>
      <w:bookmarkStart w:id="913" w:name="_Toc28278"/>
      <w:r>
        <w:rPr>
          <w:rFonts w:hint="eastAsia" w:ascii="宋体" w:hAnsi="宋体" w:eastAsia="宋体" w:cs="宋体"/>
          <w:color w:val="000000"/>
          <w:sz w:val="24"/>
          <w:szCs w:val="24"/>
        </w:rPr>
        <w:t>（1）项目经理和项目技术负责人自项目开工到项目移交生产完成前不得在其他项目兼职。</w:t>
      </w:r>
      <w:bookmarkEnd w:id="912"/>
      <w:bookmarkEnd w:id="913"/>
    </w:p>
    <w:p w14:paraId="168AC8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14" w:name="_Toc7087"/>
      <w:bookmarkStart w:id="915" w:name="_Toc30475"/>
      <w:r>
        <w:rPr>
          <w:rFonts w:hint="eastAsia" w:ascii="宋体" w:hAnsi="宋体" w:eastAsia="宋体" w:cs="宋体"/>
          <w:color w:val="000000"/>
          <w:sz w:val="24"/>
          <w:szCs w:val="24"/>
        </w:rPr>
        <w:t>（2）当承包人违约金、赔偿费达到合同总价的5％时，发包人有权终止合同并没收履约担保，同时保留以其他方式追索的权利。</w:t>
      </w:r>
      <w:bookmarkEnd w:id="914"/>
      <w:bookmarkEnd w:id="915"/>
    </w:p>
    <w:p w14:paraId="7F8E72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16" w:name="_Toc16802"/>
      <w:bookmarkStart w:id="917" w:name="_Toc19272"/>
      <w:r>
        <w:rPr>
          <w:rFonts w:hint="eastAsia" w:ascii="宋体" w:hAnsi="宋体" w:eastAsia="宋体" w:cs="宋体"/>
          <w:color w:val="000000"/>
          <w:sz w:val="24"/>
          <w:szCs w:val="24"/>
        </w:rPr>
        <w:t>（3）当承包人无法继续履行或实质上已停止履行合同时，或出现进度严重滞后、质量严重不达标等情形时，发包人有权对承包人的承包范围和工程量进行调整。</w:t>
      </w:r>
      <w:bookmarkEnd w:id="916"/>
      <w:bookmarkEnd w:id="917"/>
    </w:p>
    <w:p w14:paraId="75C4F5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18" w:name="_Toc25353"/>
      <w:bookmarkStart w:id="919" w:name="_Toc24789"/>
      <w:r>
        <w:rPr>
          <w:rFonts w:hint="eastAsia" w:ascii="宋体" w:hAnsi="宋体" w:eastAsia="宋体" w:cs="宋体"/>
          <w:color w:val="000000"/>
          <w:sz w:val="24"/>
          <w:szCs w:val="24"/>
        </w:rPr>
        <w:t>（4）承包人应为自行运输过程中造成的工地内外公共道路、桥梁或其他损坏损失负全部责任，并承担全部费用和可能引起的索赔。</w:t>
      </w:r>
      <w:bookmarkEnd w:id="918"/>
      <w:bookmarkEnd w:id="919"/>
    </w:p>
    <w:p w14:paraId="2CF1774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20" w:name="_Toc8917"/>
      <w:bookmarkStart w:id="921" w:name="_Toc12473"/>
      <w:r>
        <w:rPr>
          <w:rFonts w:hint="eastAsia" w:ascii="宋体" w:hAnsi="宋体" w:eastAsia="宋体" w:cs="宋体"/>
          <w:color w:val="000000"/>
          <w:sz w:val="24"/>
          <w:szCs w:val="24"/>
        </w:rPr>
        <w:t>（5）承包人负责运输的物件中，若遇有超大件或超重件时，应由承包人负责向交通管理部门办理申请手续。运输超大件或超重件所需进行的道路和桥梁临时加固改造费用和其他有关费用，均由承包人承担。</w:t>
      </w:r>
      <w:bookmarkEnd w:id="920"/>
      <w:bookmarkEnd w:id="921"/>
    </w:p>
    <w:p w14:paraId="2993C4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22" w:name="_Toc17870"/>
      <w:bookmarkStart w:id="923" w:name="_Toc20910"/>
      <w:r>
        <w:rPr>
          <w:rFonts w:hint="eastAsia" w:ascii="宋体" w:hAnsi="宋体" w:eastAsia="宋体" w:cs="宋体"/>
          <w:color w:val="000000"/>
          <w:sz w:val="24"/>
          <w:szCs w:val="24"/>
        </w:rPr>
        <w:t>（6）永久设备安装余量和包装材料的回收</w:t>
      </w:r>
      <w:bookmarkEnd w:id="922"/>
      <w:bookmarkEnd w:id="923"/>
    </w:p>
    <w:p w14:paraId="53DB8B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24" w:name="_Toc12723"/>
      <w:bookmarkStart w:id="925" w:name="_Toc3877"/>
      <w:r>
        <w:rPr>
          <w:rFonts w:hint="eastAsia" w:ascii="宋体" w:hAnsi="宋体" w:eastAsia="宋体" w:cs="宋体"/>
          <w:color w:val="000000"/>
          <w:sz w:val="24"/>
          <w:szCs w:val="24"/>
        </w:rPr>
        <w:t>设备安装中配套的剩余零部件、备品备件、专用工具和材料承包人必须完好回收，登记造册，送回设备仓库并办理物资核销手续；安装中损坏部件应报废处理，但必须经发包人、监理人审定认可。施工期及施工完成后应及时清理期间产生的废弃物，不得造成环境污染事件。</w:t>
      </w:r>
      <w:bookmarkEnd w:id="924"/>
      <w:bookmarkEnd w:id="925"/>
    </w:p>
    <w:p w14:paraId="3FD15C4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7）承包人承诺严格遵守国家财政部和安全监管总局发布的《企业安全生产费用提取和使用管理办法》（财资〔2022〕136号）的规定使用，不得挪作他用。若承包人不能根据工程需要及时配备劳动保护用品、安全防护材料、工器具、设备、消防设施，发包人有权直接购置，相关费用从工程结算价款扣回，同时并不免除承包人应承担的责任。</w:t>
      </w:r>
    </w:p>
    <w:p w14:paraId="56B213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8）工程施工过程中，承包人应按照合同和发包人要求做好水土保持、环境保护工作，若由发包人检查发现承包人未按要求做好水土保持、环境保护工作的，每发生一次支付违约金5000元；若由政府监管部门检查发现承包人未按要求做好水土保持、环境保护工作的，每发生一次支付违约金100000元，相关费用从工程结算价款扣回。</w:t>
      </w:r>
    </w:p>
    <w:p w14:paraId="6FD448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若由于承包人原因未通过水保、环保等验收工作，承包人支付合同结算金额的0.5%作为违约金，同时责令其完成水保、环保工作，直至项目通过水保、环保验收工作。</w:t>
      </w:r>
    </w:p>
    <w:p w14:paraId="5297C0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（9）承包人应尊重并认可发包人委托的有资质的造价审计机构审核意见，并根据审核结果及时办理竣工结算及资料移交工作，</w:t>
      </w:r>
      <w:r>
        <w:rPr>
          <w:rFonts w:hint="eastAsia" w:ascii="宋体" w:hAnsi="宋体" w:eastAsia="宋体" w:cs="宋体"/>
          <w:color w:val="000000"/>
          <w:sz w:val="24"/>
          <w:szCs w:val="24"/>
        </w:rPr>
        <w:t>审计的效力依照《最高人民法院关于审理建设工程施工合同纠纷案件适用法律问题的解释》的规定处理。</w:t>
      </w:r>
    </w:p>
    <w:p w14:paraId="36959ED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10）承包人应配合发包人开展信访维稳工作。承包人不得从事哄抬地价、物价、煽动当地群众扰乱项目所在地社会稳定的活动，一经查实，每次支付违约金100000元，相关费用从工程结算价款扣除。因此给发包人造成损失的，承包人还应当承担赔偿责任。造成严重后果的，追究其法律责任。</w:t>
      </w:r>
    </w:p>
    <w:p w14:paraId="182C2C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11）承包人应遵守国家《劳动法》《保障农民工工资支付条例》，及时配合发包人到项目所在地人力资源和社会保障部门足额缴纳农民工保证金；因承包人拒绝支付和拖欠农民工工资，造成农民工上访的，一经查实，按承包人违约处理，每发生一次支付违约金10000元，相关费用从工程结算价款扣除。因此给发包人造成损失的，承包人还应当承担赔偿责任。造成严重后果的，追究其法律责任。</w:t>
      </w:r>
    </w:p>
    <w:p w14:paraId="58A15C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26" w:name="_Toc79760390"/>
      <w:r>
        <w:rPr>
          <w:rFonts w:hint="default" w:ascii="Times New Roman" w:hAnsi="Times New Roman" w:cs="Times New Roman"/>
          <w:color w:val="000000"/>
          <w:sz w:val="24"/>
          <w:szCs w:val="24"/>
        </w:rPr>
        <w:t>25.2 分包</w:t>
      </w:r>
      <w:bookmarkEnd w:id="926"/>
    </w:p>
    <w:p w14:paraId="0A2F22B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25.2.1 </w:t>
      </w:r>
      <w:r>
        <w:rPr>
          <w:rFonts w:hint="default" w:ascii="Calibri" w:hAnsi="Calibri" w:cs="Calibri"/>
          <w:color w:val="000000"/>
          <w:sz w:val="24"/>
          <w:szCs w:val="24"/>
        </w:rPr>
        <w:t>总承包人在分包过程中应严格遵守国家发改委第28号令，总承包人应对分包人的资质、施工能力及信誉进行审查并对其结果负责。</w:t>
      </w:r>
    </w:p>
    <w:p w14:paraId="7427718D">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27" w:name="_Toc79760391"/>
      <w:r>
        <w:rPr>
          <w:rFonts w:hint="eastAsia" w:ascii="宋体" w:hAnsi="宋体" w:eastAsia="宋体" w:cs="宋体"/>
          <w:color w:val="000000"/>
          <w:sz w:val="24"/>
          <w:szCs w:val="24"/>
        </w:rPr>
        <w:t xml:space="preserve">25.3 </w:t>
      </w:r>
      <w:r>
        <w:rPr>
          <w:rFonts w:hint="default" w:ascii="Times New Roman" w:hAnsi="Times New Roman" w:cs="Times New Roman"/>
          <w:color w:val="000000"/>
          <w:sz w:val="24"/>
          <w:szCs w:val="24"/>
        </w:rPr>
        <w:t>采购</w:t>
      </w:r>
      <w:bookmarkEnd w:id="927"/>
    </w:p>
    <w:p w14:paraId="375277C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25.3.1</w:t>
      </w:r>
      <w:r>
        <w:rPr>
          <w:rFonts w:hint="default" w:ascii="Calibri" w:hAnsi="Calibri" w:cs="Calibri"/>
          <w:color w:val="000000"/>
          <w:sz w:val="24"/>
          <w:szCs w:val="24"/>
        </w:rPr>
        <w:t xml:space="preserve"> 根据招标文件和投标文件，本工程所有设备由总承包人向合格设备供应方采购，总承包人应对设备供应方的资质、产品质量及信誉进行审查，按照法律法规的要求通过公开招标或者其他合法方式采购并对其结果负责。</w:t>
      </w:r>
    </w:p>
    <w:p w14:paraId="1DFF7525">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2"/>
      </w:pPr>
      <w:bookmarkStart w:id="928" w:name="_Toc79760392"/>
      <w:r>
        <w:rPr>
          <w:rFonts w:hint="eastAsia" w:ascii="宋体" w:hAnsi="宋体" w:eastAsia="宋体" w:cs="宋体"/>
          <w:b/>
          <w:bCs/>
          <w:color w:val="000000"/>
          <w:sz w:val="24"/>
          <w:szCs w:val="24"/>
        </w:rPr>
        <w:t>25.4 合同中止条款</w:t>
      </w:r>
      <w:bookmarkEnd w:id="928"/>
    </w:p>
    <w:p w14:paraId="53E9DED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25.4.1</w:t>
      </w:r>
      <w:r>
        <w:rPr>
          <w:rFonts w:hint="default" w:ascii="Calibri" w:hAnsi="Calibri" w:cs="Calibri"/>
          <w:color w:val="000000"/>
          <w:sz w:val="24"/>
          <w:szCs w:val="24"/>
        </w:rPr>
        <w:t>任何应当先履行本合同义务的一方，有确切证据证明对方有下列情形之一的，可以中止本合同的履行：</w:t>
      </w:r>
    </w:p>
    <w:p w14:paraId="0E8474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（1）经营状况严重恶化；</w:t>
      </w:r>
    </w:p>
    <w:p w14:paraId="7B8CBC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（2）转移财产、抽逃资金，以逃避债务；</w:t>
      </w:r>
    </w:p>
    <w:p w14:paraId="27D27C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（3）丧失商业信誉；</w:t>
      </w:r>
    </w:p>
    <w:p w14:paraId="6ABD0D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（4）有丧失或者可能丧失履行债务能力的其他情形。</w:t>
      </w:r>
    </w:p>
    <w:p w14:paraId="53D8A2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25.4.2</w:t>
      </w:r>
      <w:r>
        <w:rPr>
          <w:rFonts w:hint="default" w:ascii="Calibri" w:hAnsi="Calibri" w:cs="Calibri"/>
          <w:color w:val="000000"/>
          <w:sz w:val="24"/>
          <w:szCs w:val="24"/>
        </w:rPr>
        <w:t xml:space="preserve"> 一方依照上述约定中止履行的，应当及时通知对方。对方提供适当担保时，应当恢复履行。中止履行后，对方在30日内未恢复履行能力并且未提供适当担保的，中止履行的一方可以解除合同。</w:t>
      </w:r>
    </w:p>
    <w:p w14:paraId="70B4FC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25.4.3 </w:t>
      </w:r>
      <w:r>
        <w:rPr>
          <w:rFonts w:hint="default" w:ascii="Calibri" w:hAnsi="Calibri" w:cs="Calibri"/>
          <w:color w:val="000000"/>
          <w:sz w:val="24"/>
          <w:szCs w:val="24"/>
        </w:rPr>
        <w:t>当事人没有确切证据中止履行的，应当承担违约责任。</w:t>
      </w:r>
    </w:p>
    <w:p w14:paraId="3D8733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25.4.4</w:t>
      </w:r>
      <w:r>
        <w:rPr>
          <w:rFonts w:hint="default" w:ascii="Calibri" w:hAnsi="Calibri" w:cs="Calibri"/>
          <w:color w:val="000000"/>
          <w:sz w:val="24"/>
          <w:szCs w:val="24"/>
        </w:rPr>
        <w:t>中止履行的一方必须尽到及时通知的义务，提供担保的，应当恢复履行。</w:t>
      </w:r>
    </w:p>
    <w:p w14:paraId="3339F28A">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bookmarkStart w:id="929" w:name="_Toc79760393"/>
      <w:r>
        <w:rPr>
          <w:rFonts w:hint="eastAsia" w:ascii="宋体" w:hAnsi="宋体" w:eastAsia="宋体" w:cs="宋体"/>
          <w:b/>
          <w:bCs/>
          <w:color w:val="000000"/>
          <w:sz w:val="24"/>
          <w:szCs w:val="24"/>
        </w:rPr>
        <w:t>25.5</w:t>
      </w:r>
      <w:r>
        <w:rPr>
          <w:rFonts w:hint="default" w:ascii="Times New Roman" w:hAnsi="Times New Roman" w:cs="Times New Roman"/>
          <w:b/>
          <w:bCs/>
          <w:color w:val="000000"/>
          <w:sz w:val="24"/>
          <w:szCs w:val="24"/>
        </w:rPr>
        <w:t xml:space="preserve"> 合同自然终止条款</w:t>
      </w:r>
      <w:bookmarkEnd w:id="929"/>
    </w:p>
    <w:p w14:paraId="384603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30" w:name="_Toc79760394"/>
      <w:r>
        <w:rPr>
          <w:rFonts w:hint="eastAsia" w:ascii="宋体" w:hAnsi="宋体" w:eastAsia="宋体" w:cs="宋体"/>
          <w:color w:val="000000"/>
          <w:sz w:val="24"/>
          <w:szCs w:val="24"/>
        </w:rPr>
        <w:t xml:space="preserve">25.5.1 </w:t>
      </w:r>
      <w:r>
        <w:rPr>
          <w:rFonts w:hint="default" w:ascii="Calibri" w:hAnsi="Calibri" w:cs="Calibri"/>
          <w:color w:val="000000"/>
          <w:sz w:val="24"/>
          <w:szCs w:val="24"/>
        </w:rPr>
        <w:t>自然终止</w:t>
      </w:r>
      <w:bookmarkEnd w:id="930"/>
    </w:p>
    <w:p w14:paraId="62456E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若承包人已将合同工程全部移交发包人，且缺陷责任期满，监理人已颁发最后一个分部工程的缺陷责任终止证书，合同双方均未遗留按合同规定应履行的职责时，合同自然终止。</w:t>
      </w:r>
    </w:p>
    <w:p w14:paraId="1BDA48F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25.6 发包人与承包人具体责任划分</w:t>
      </w:r>
    </w:p>
    <w:p w14:paraId="61362A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发包人（业主）与承包人具体责任划分：</w:t>
      </w:r>
    </w:p>
    <w:p w14:paraId="3A7DBE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（1）承包人负责联系电力工程质监中心站、</w:t>
      </w:r>
      <w:r>
        <w:rPr>
          <w:rFonts w:hint="default" w:ascii="Calibri" w:hAnsi="Calibri" w:cs="Calibri"/>
          <w:color w:val="0000FF"/>
          <w:sz w:val="24"/>
          <w:szCs w:val="24"/>
        </w:rPr>
        <w:t>电力基本建设工程质量监督中心</w:t>
      </w:r>
      <w:r>
        <w:rPr>
          <w:rFonts w:hint="default" w:ascii="Calibri" w:hAnsi="Calibri" w:cs="Calibri"/>
          <w:color w:val="000000"/>
          <w:sz w:val="24"/>
          <w:szCs w:val="24"/>
        </w:rPr>
        <w:t>站、项目所在地住建部门的质量监管单位，缴纳注册费用，并组织工程各阶段监检；承包人配合完成具体工作，负责工程现场质监对接具体工作并承担相关费用。</w:t>
      </w:r>
    </w:p>
    <w:p w14:paraId="77704E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（2）承包人负责相关并网手续办理（包括与电网公司签订《购售电合同》《并网调度协议》《供用电合同》等），并组织电网公司验收 ；承包人应积极配合项目各项并网手续办理事宜，工程质量应达到电网公司验收标准，同时承包人应负责项目现场并网验收具体工作并承担相关费用。</w:t>
      </w:r>
    </w:p>
    <w:p w14:paraId="4C98CA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（3）承包人负责签订各项并网检测（包括电能质量检测、有功功率测试、无功功率测试、电网适应性检测等）合同。承包人应积极配合并网检测工作开展并确保所采购设备通过上述检测。</w:t>
      </w:r>
    </w:p>
    <w:p w14:paraId="1FF08A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（4）所有涉网手续办理，包括定值计算全部由承包人负责；各标段承包人负责各自承包范围内的电网对接和保护定值计算等相关工作。</w:t>
      </w:r>
    </w:p>
    <w:p w14:paraId="36B47A4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（5）承包人负责</w:t>
      </w:r>
      <w:r>
        <w:rPr>
          <w:rFonts w:hint="default" w:ascii="Calibri" w:hAnsi="Calibri" w:cs="Calibri"/>
          <w:b/>
          <w:bCs/>
          <w:color w:val="000000"/>
          <w:sz w:val="24"/>
          <w:szCs w:val="24"/>
        </w:rPr>
        <w:t>组件基础、箱变基础、进场及场区</w:t>
      </w:r>
      <w:r>
        <w:rPr>
          <w:rFonts w:hint="default" w:ascii="Calibri" w:hAnsi="Calibri" w:cs="Calibri"/>
          <w:color w:val="000000"/>
          <w:sz w:val="24"/>
          <w:szCs w:val="24"/>
        </w:rPr>
        <w:t>道路用地红线内的征租地工作并支付相关费用，完成相关图纸、划线工作；承包人负责征地红线放样、记录及影像留存。承包人负责施工、生产生活、临建用地、弃土场用地等临时用地的手续办理、补偿、复原、复耕、复绿及恢复工作；承包人负责征租用地的地上及地下附着物（青苗、建构筑物、坟墓等）清理，并承担所涉临时用地的相关费用，发包人配合承包人工作。</w:t>
      </w:r>
    </w:p>
    <w:p w14:paraId="1F84F8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（6）承包人负责施工过程中与政府相关部门、乡镇、村民委员会、村民的协调工作。</w:t>
      </w:r>
    </w:p>
    <w:p w14:paraId="789C471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承包人在场内道路及平台等设计施工中须充分考虑光伏电站原有水系的影响，新设计的排水系统确保所涉及的村庄、矿山、水库、土地、水源、水电站等不受影响；排水系统顺畅，符合水保环保要求，不影响村民生产生活，并承担相关费用，不造成滑坡、坍塌、水淹等事件。</w:t>
      </w:r>
    </w:p>
    <w:p w14:paraId="64C80F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（8）承包人负责规划运输方式及运输路线，解决运输路线上影响运输的如架空线路（如光缆、输电线路等）改造、迁移、桥梁加固、路面加宽、维护等涉及的协调工作并承担相关费用。</w:t>
      </w:r>
    </w:p>
    <w:p w14:paraId="30E305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承包人负责一切运输手续、交通道路许可手续办理，解决施工现场与城乡公共道路的通道，确定运输方式和运输通道，满足施工运输要求和寻找设备堆放场地，设备运输车辆的拖拽、牵引，综合协调设备生产、运输、存放、倒运、保管，满足设备连续吊装要求并承担相关费用。</w:t>
      </w:r>
    </w:p>
    <w:p w14:paraId="3EBAE5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（10）承包人向环保部门缴纳施工期间粉尘、噪音、废水、废物排放费用，采取洒水、降尘、降噪等措施。</w:t>
      </w:r>
    </w:p>
    <w:p w14:paraId="113EF62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（11）承包人负责水土保持工程及环境保护工程实施（包括：设计、施工、组织验收并取得验收合格证书），满足光伏电站总体设计方案，并与主体工程同步实施 。</w:t>
      </w:r>
    </w:p>
    <w:p w14:paraId="5BA0E8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（12）发包人委托有资质单位负责为项目水土保持环境保护提供监理、监测、评估服务工作，承包人积极配合相关工作。</w:t>
      </w:r>
    </w:p>
    <w:p w14:paraId="41DA2D8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（13）承包人负责消防备案及验收、防雷备案及验收、安监卫生备案及验收等工作并承担相关费用，发包人配合承包人工作。</w:t>
      </w:r>
    </w:p>
    <w:p w14:paraId="62A5838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（14）承包人负责施工中发生阻工等的协调以及其他不可预见的事件的处理并承担相关费用。</w:t>
      </w:r>
    </w:p>
    <w:p w14:paraId="3623DF61">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2"/>
      </w:pPr>
      <w:bookmarkStart w:id="931" w:name="_Toc79760396"/>
      <w:r>
        <w:rPr>
          <w:rFonts w:hint="eastAsia" w:ascii="宋体" w:hAnsi="宋体" w:eastAsia="宋体" w:cs="宋体"/>
          <w:b/>
          <w:bCs/>
          <w:color w:val="000000"/>
          <w:sz w:val="24"/>
          <w:szCs w:val="24"/>
        </w:rPr>
        <w:t>25.7</w:t>
      </w:r>
      <w:r>
        <w:rPr>
          <w:rFonts w:hint="default" w:ascii="Times New Roman" w:hAnsi="Times New Roman" w:cs="Times New Roman"/>
          <w:b/>
          <w:bCs/>
          <w:color w:val="000000"/>
          <w:sz w:val="24"/>
          <w:szCs w:val="24"/>
        </w:rPr>
        <w:t> 送达</w:t>
      </w:r>
      <w:bookmarkEnd w:id="931"/>
    </w:p>
    <w:p w14:paraId="579761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双方在履行本合同过程中，应保持畅通的联系和有效的送达，任何一方因行使合同解除权而向对方送达有关函件、通知，采取下列方式均为有效送达：</w:t>
      </w:r>
    </w:p>
    <w:p w14:paraId="5D31A7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（1）发包人将有关函件送达给承包人的现场项目代表，并由其签收；承包人将有关函件送达给发包人项目现场负责人，并由其签收。</w:t>
      </w:r>
    </w:p>
    <w:p w14:paraId="2FF256E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（2）发包人将有关函件寄送给承包人如下地址：</w:t>
      </w:r>
      <w:r>
        <w:rPr>
          <w:rFonts w:hint="default" w:ascii="Times New Roman" w:hAnsi="Times New Roman" w:cs="Times New Roman"/>
          <w:color w:val="000000"/>
          <w:sz w:val="24"/>
          <w:szCs w:val="24"/>
          <w:u w:val="single"/>
        </w:rPr>
        <w:t>                            </w:t>
      </w:r>
      <w:r>
        <w:rPr>
          <w:rFonts w:hint="default" w:ascii="Times New Roman" w:hAnsi="Times New Roman" w:cs="Times New Roman"/>
          <w:color w:val="000000"/>
          <w:sz w:val="24"/>
          <w:szCs w:val="24"/>
        </w:rPr>
        <w:t>；</w:t>
      </w:r>
    </w:p>
    <w:p w14:paraId="3D5EDBE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960"/>
      </w:pPr>
      <w:r>
        <w:rPr>
          <w:rFonts w:hint="default" w:ascii="Times New Roman" w:hAnsi="Times New Roman" w:cs="Times New Roman"/>
          <w:color w:val="000000"/>
          <w:sz w:val="24"/>
          <w:szCs w:val="24"/>
        </w:rPr>
        <w:t xml:space="preserve">承包人将有关函件寄送给发包人如下地址：  </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w:t>
      </w:r>
    </w:p>
    <w:p w14:paraId="48F71AA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960"/>
      </w:pPr>
      <w:r>
        <w:rPr>
          <w:rFonts w:hint="default" w:ascii="Times New Roman" w:hAnsi="Times New Roman" w:cs="Times New Roman"/>
          <w:color w:val="000000"/>
          <w:sz w:val="24"/>
          <w:szCs w:val="24"/>
        </w:rPr>
        <w:t>任何一方将有关函件邮寄至另一方的上述地址即视为送达。</w:t>
      </w:r>
    </w:p>
    <w:p w14:paraId="2C12F753">
      <w:pPr>
        <w:keepNext w:val="0"/>
        <w:keepLines w:val="0"/>
        <w:widowControl/>
        <w:numPr>
          <w:ilvl w:val="0"/>
          <w:numId w:val="3"/>
        </w:numPr>
        <w:suppressLineNumbers w:val="0"/>
        <w:spacing w:before="0" w:beforeAutospacing="1" w:after="0" w:afterAutospacing="1"/>
        <w:ind w:left="1440" w:hanging="360"/>
      </w:pPr>
    </w:p>
    <w:p w14:paraId="1B0FBA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720" w:firstLine="480"/>
      </w:pPr>
      <w:r>
        <w:rPr>
          <w:rFonts w:hint="default" w:ascii="Times New Roman" w:hAnsi="Times New Roman" w:cs="Times New Roman"/>
          <w:color w:val="000000"/>
          <w:sz w:val="24"/>
          <w:szCs w:val="24"/>
          <w:bdr w:val="none" w:color="auto" w:sz="0" w:space="0"/>
        </w:rPr>
        <w:t>发包人将有关函件发送至承包人如下电子邮箱：</w:t>
      </w:r>
      <w:r>
        <w:rPr>
          <w:rFonts w:hint="default" w:ascii="Times New Roman" w:hAnsi="Times New Roman" w:cs="Times New Roman"/>
          <w:color w:val="000000"/>
          <w:sz w:val="24"/>
          <w:szCs w:val="24"/>
          <w:u w:val="single"/>
          <w:bdr w:val="none" w:color="auto" w:sz="0" w:space="0"/>
        </w:rPr>
        <w:t>            </w:t>
      </w:r>
      <w:r>
        <w:rPr>
          <w:rFonts w:hint="default" w:ascii="Times New Roman" w:hAnsi="Times New Roman" w:cs="Times New Roman"/>
          <w:color w:val="000000"/>
          <w:sz w:val="24"/>
          <w:szCs w:val="24"/>
          <w:bdr w:val="none" w:color="auto" w:sz="0" w:space="0"/>
        </w:rPr>
        <w:t>；</w:t>
      </w:r>
    </w:p>
    <w:p w14:paraId="2326E59B">
      <w:pPr>
        <w:keepNext w:val="0"/>
        <w:keepLines w:val="0"/>
        <w:widowControl/>
        <w:numPr>
          <w:ilvl w:val="0"/>
          <w:numId w:val="3"/>
        </w:numPr>
        <w:suppressLineNumbers w:val="0"/>
        <w:spacing w:before="0" w:beforeAutospacing="1" w:after="0" w:afterAutospacing="1"/>
        <w:ind w:left="1440" w:hanging="360"/>
      </w:pPr>
    </w:p>
    <w:p w14:paraId="043192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20"/>
      </w:pPr>
      <w:r>
        <w:rPr>
          <w:rFonts w:hint="default" w:ascii="Times New Roman" w:hAnsi="Times New Roman" w:cs="Times New Roman"/>
          <w:color w:val="000000"/>
          <w:sz w:val="24"/>
          <w:szCs w:val="24"/>
        </w:rPr>
        <w:t>承包人将有关函件发送至发包人如下电子邮箱：</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w:t>
      </w:r>
    </w:p>
    <w:p w14:paraId="2EE97AE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20"/>
      </w:pPr>
      <w:r>
        <w:rPr>
          <w:rFonts w:hint="default" w:ascii="Times New Roman" w:hAnsi="Times New Roman" w:cs="Times New Roman"/>
          <w:color w:val="000000"/>
          <w:sz w:val="24"/>
          <w:szCs w:val="24"/>
        </w:rPr>
        <w:t>任何一方的有关函件进入另一方上述邮件系统即视为送达。</w:t>
      </w:r>
    </w:p>
    <w:p w14:paraId="3B89E09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（4）在上述三种方式都不能有效送达的情况下，任何一方均可向对方登报公开送达，有关函件、通知的内容应刊登在全国公开发行的报纸上或者被送达方所在地全省（自治区、直辖市）公开发行的报纸上。</w:t>
      </w:r>
    </w:p>
    <w:p w14:paraId="2F5CFB0E">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2"/>
      </w:pPr>
      <w:r>
        <w:rPr>
          <w:rFonts w:hint="eastAsia" w:ascii="宋体" w:hAnsi="宋体" w:eastAsia="宋体" w:cs="宋体"/>
          <w:b/>
          <w:bCs/>
          <w:color w:val="000000"/>
          <w:sz w:val="24"/>
          <w:szCs w:val="24"/>
        </w:rPr>
        <w:t>25.8</w:t>
      </w:r>
      <w:r>
        <w:rPr>
          <w:rFonts w:hint="default" w:ascii="Times New Roman" w:hAnsi="Times New Roman" w:cs="Times New Roman"/>
          <w:b/>
          <w:bCs/>
          <w:color w:val="000000"/>
          <w:sz w:val="24"/>
          <w:szCs w:val="24"/>
        </w:rPr>
        <w:t xml:space="preserve"> 保密义务 </w:t>
      </w:r>
    </w:p>
    <w:p w14:paraId="50E810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25.8.1</w:t>
      </w:r>
      <w:r>
        <w:rPr>
          <w:rFonts w:hint="default" w:ascii="Calibri" w:hAnsi="Calibri" w:cs="Calibri"/>
          <w:color w:val="000000"/>
          <w:sz w:val="24"/>
          <w:szCs w:val="24"/>
        </w:rPr>
        <w:t xml:space="preserve"> 未经发包人同意，承包人承诺不得将保密信息用于本项目目的以外的其他任何目的，不得引用、利用、公开发表，不得将任何保密信息泄露给任何第三方，否则均将视为对本协议项下保密义务的违反，需就此对发包人造成的一切损害承担赔偿责任。施工过程中形成的信息属于发包人知识产权，属于保密范围。</w:t>
      </w:r>
    </w:p>
    <w:p w14:paraId="56C64F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25.8.2 </w:t>
      </w:r>
      <w:r>
        <w:rPr>
          <w:rFonts w:hint="default" w:ascii="Calibri" w:hAnsi="Calibri" w:cs="Calibri"/>
          <w:color w:val="000000"/>
          <w:sz w:val="24"/>
          <w:szCs w:val="24"/>
        </w:rPr>
        <w:t xml:space="preserve">前款“保密信息”指发包人或其任何关联方就本项目以任何方式提供给承包人及其关联方（包括但不限于承包人管理人员、工作人员、分包方、设备供应商等）的任何信息（该等信息包括但不限于任何发包人及其关联方的商业秘密、技术秘密、地质资料、测风数据、海洋水文数据以及其他具有保密性质的信息），包括该等信息或由该等信息衍生或复制的口头信息、任何书面文件、电子文档或任何其他表现或记录信息的方式。承包人或其关联方违反本协议约定的保密义务，均视为承包人违反本协议约定的保密义务，承包人需就此对发包人造成的一切损害承担赔偿责任。 </w:t>
      </w:r>
    </w:p>
    <w:p w14:paraId="3C74FF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25.8.3 </w:t>
      </w:r>
      <w:r>
        <w:rPr>
          <w:rFonts w:hint="default" w:ascii="Calibri" w:hAnsi="Calibri" w:cs="Calibri"/>
          <w:color w:val="000000"/>
          <w:sz w:val="24"/>
          <w:szCs w:val="24"/>
        </w:rPr>
        <w:t xml:space="preserve">本协议终止或解除均不影响保密条款的效力。协议终止后，经发包人要求，承包人从发包人或其关联方获取的保密信息均应依照发包人要求的方式处理。 </w:t>
      </w:r>
    </w:p>
    <w:p w14:paraId="2B68A291">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2"/>
      </w:pPr>
      <w:r>
        <w:rPr>
          <w:rFonts w:hint="eastAsia" w:ascii="宋体" w:hAnsi="宋体" w:eastAsia="宋体" w:cs="宋体"/>
          <w:b/>
          <w:bCs/>
          <w:color w:val="000000"/>
          <w:sz w:val="24"/>
          <w:szCs w:val="24"/>
        </w:rPr>
        <w:t>25.9</w:t>
      </w:r>
      <w:r>
        <w:rPr>
          <w:rFonts w:hint="default" w:ascii="Times New Roman" w:hAnsi="Times New Roman" w:cs="Times New Roman"/>
          <w:b/>
          <w:bCs/>
          <w:color w:val="000000"/>
          <w:sz w:val="24"/>
          <w:szCs w:val="24"/>
        </w:rPr>
        <w:t>企业信用维护</w:t>
      </w:r>
    </w:p>
    <w:p w14:paraId="486F62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双方在履行本合同过程中，应尊重并保护对方企业信用，本着平等协商原则妥善解决与第三方争议、维持与各相关方的和谐关系，以免增加双方诉累；如对对方企业信用造成恶劣影响，责任方应按与第三方争议标的金额的3%支付违约金。</w:t>
      </w:r>
    </w:p>
    <w:p w14:paraId="0032CC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19"/>
        </w:tabs>
        <w:spacing w:before="0" w:beforeAutospacing="0" w:after="120" w:afterAutospacing="0" w:line="312" w:lineRule="auto"/>
      </w:pPr>
      <w:r>
        <w:rPr>
          <w:bdr w:val="none" w:color="auto" w:sz="0" w:space="0"/>
        </w:rPr>
        <w:t> </w:t>
      </w:r>
    </w:p>
    <w:p w14:paraId="0A76A6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firstLine="400"/>
      </w:pPr>
      <w:r>
        <w:rPr>
          <w:bdr w:val="none" w:color="auto" w:sz="0" w:space="0"/>
        </w:rPr>
        <w:t> </w:t>
      </w:r>
    </w:p>
    <w:p w14:paraId="4FEDE08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2F6B213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3855"/>
      </w:pPr>
      <w:bookmarkStart w:id="932" w:name="_Toc26148"/>
      <w:bookmarkStart w:id="933" w:name="_Toc5319"/>
      <w:bookmarkStart w:id="934" w:name="_Toc5586"/>
      <w:bookmarkStart w:id="935" w:name="_Toc79760397"/>
      <w:bookmarkStart w:id="936" w:name="_Toc15168"/>
      <w:r>
        <w:rPr>
          <w:rFonts w:hint="eastAsia" w:ascii="黑体" w:hAnsi="宋体" w:eastAsia="黑体" w:cs="黑体"/>
          <w:b/>
          <w:bCs/>
          <w:color w:val="000000"/>
          <w:sz w:val="32"/>
          <w:szCs w:val="32"/>
        </w:rPr>
        <w:t>第三节 合同附件</w:t>
      </w:r>
      <w:bookmarkEnd w:id="932"/>
      <w:bookmarkEnd w:id="933"/>
      <w:bookmarkEnd w:id="934"/>
      <w:bookmarkEnd w:id="935"/>
      <w:bookmarkEnd w:id="936"/>
    </w:p>
    <w:p w14:paraId="4DA3A3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937" w:name="_Toc30833"/>
      <w:bookmarkStart w:id="938" w:name="_Toc67789027"/>
      <w:bookmarkStart w:id="939" w:name="_Toc18389"/>
      <w:bookmarkStart w:id="940" w:name="_Toc13726"/>
      <w:bookmarkStart w:id="941" w:name="_Toc1588"/>
      <w:bookmarkStart w:id="942" w:name="_Toc3752"/>
      <w:bookmarkStart w:id="943" w:name="_Toc22548"/>
      <w:bookmarkStart w:id="944" w:name="_Toc13252"/>
      <w:bookmarkStart w:id="945" w:name="_Toc144974827"/>
      <w:bookmarkStart w:id="946" w:name="_Toc247514199"/>
      <w:bookmarkStart w:id="947" w:name="_Toc247527800"/>
      <w:bookmarkStart w:id="948" w:name="_Toc152045768"/>
      <w:bookmarkStart w:id="949" w:name="_Toc11326"/>
      <w:bookmarkStart w:id="950" w:name="_Toc152042547"/>
      <w:r>
        <w:rPr>
          <w:rFonts w:hint="eastAsia" w:ascii="黑体" w:hAnsi="宋体" w:eastAsia="黑体" w:cs="黑体"/>
          <w:color w:val="000000"/>
          <w:sz w:val="28"/>
          <w:szCs w:val="28"/>
        </w:rPr>
        <w:t>附件一  合同协议书</w:t>
      </w:r>
      <w:bookmarkEnd w:id="937"/>
      <w:bookmarkEnd w:id="938"/>
      <w:bookmarkEnd w:id="939"/>
      <w:bookmarkEnd w:id="940"/>
      <w:bookmarkEnd w:id="941"/>
      <w:bookmarkEnd w:id="942"/>
      <w:r>
        <w:rPr>
          <w:rFonts w:hint="eastAsia" w:ascii="黑体" w:hAnsi="宋体" w:eastAsia="黑体" w:cs="黑体"/>
          <w:color w:val="000000"/>
          <w:sz w:val="28"/>
          <w:szCs w:val="28"/>
        </w:rPr>
        <w:t>格式</w:t>
      </w:r>
      <w:bookmarkEnd w:id="943"/>
      <w:bookmarkEnd w:id="944"/>
      <w:bookmarkEnd w:id="945"/>
      <w:bookmarkEnd w:id="946"/>
      <w:bookmarkEnd w:id="947"/>
      <w:bookmarkEnd w:id="948"/>
      <w:bookmarkEnd w:id="949"/>
      <w:bookmarkEnd w:id="950"/>
    </w:p>
    <w:p w14:paraId="5023EC5E">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Times New Roman" w:hAnsi="Times New Roman" w:cs="Times New Roman"/>
          <w:color w:val="000000"/>
          <w:sz w:val="24"/>
          <w:szCs w:val="24"/>
        </w:rPr>
        <w:br w:type="page"/>
      </w:r>
      <w:r>
        <w:rPr>
          <w:rFonts w:hint="default" w:ascii="Times New Roman" w:hAnsi="Times New Roman" w:cs="Times New Roman"/>
          <w:color w:val="000000"/>
          <w:sz w:val="24"/>
          <w:szCs w:val="24"/>
        </w:rPr>
        <w:t> </w:t>
      </w:r>
      <w:bookmarkStart w:id="951" w:name="_Toc13335"/>
      <w:bookmarkStart w:id="952" w:name="_Toc17699"/>
      <w:bookmarkStart w:id="953" w:name="_Toc32256"/>
      <w:bookmarkStart w:id="954" w:name="_Toc32260"/>
      <w:bookmarkStart w:id="955" w:name="_Toc4284"/>
      <w:bookmarkStart w:id="956" w:name="_Toc31183"/>
      <w:bookmarkStart w:id="957" w:name="_Toc67789028"/>
      <w:bookmarkStart w:id="958" w:name="_Toc8957"/>
      <w:bookmarkStart w:id="959" w:name="_Toc19912"/>
      <w:r>
        <w:rPr>
          <w:rFonts w:hint="eastAsia" w:ascii="黑体" w:hAnsi="宋体" w:eastAsia="黑体" w:cs="黑体"/>
          <w:color w:val="000000"/>
          <w:sz w:val="28"/>
          <w:szCs w:val="28"/>
        </w:rPr>
        <w:t>附件二  履约保函格式</w:t>
      </w:r>
      <w:bookmarkEnd w:id="951"/>
      <w:bookmarkEnd w:id="952"/>
      <w:bookmarkEnd w:id="953"/>
      <w:bookmarkEnd w:id="954"/>
      <w:bookmarkEnd w:id="955"/>
      <w:bookmarkEnd w:id="956"/>
      <w:bookmarkEnd w:id="957"/>
      <w:bookmarkEnd w:id="958"/>
      <w:bookmarkEnd w:id="959"/>
    </w:p>
    <w:p w14:paraId="357839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r>
        <w:rPr>
          <w:rFonts w:hint="default" w:ascii="Calibri" w:hAnsi="Calibri" w:cs="Calibri"/>
          <w:color w:val="000000"/>
          <w:sz w:val="28"/>
          <w:szCs w:val="28"/>
        </w:rPr>
        <w:t>履  约  保  函</w:t>
      </w:r>
    </w:p>
    <w:p w14:paraId="2B3DF7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p w14:paraId="70FFD6F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致：</w:t>
      </w:r>
      <w:r>
        <w:rPr>
          <w:rFonts w:hint="default" w:ascii="Calibri" w:hAnsi="Calibri" w:cs="Calibri"/>
          <w:color w:val="000000"/>
          <w:sz w:val="24"/>
          <w:szCs w:val="24"/>
          <w:u w:val="single"/>
        </w:rPr>
        <w:t xml:space="preserve">                     </w:t>
      </w:r>
      <w:r>
        <w:rPr>
          <w:rFonts w:hint="default" w:ascii="Calibri" w:hAnsi="Calibri" w:cs="Calibri"/>
          <w:color w:val="000000"/>
          <w:sz w:val="24"/>
          <w:szCs w:val="24"/>
        </w:rPr>
        <w:t>（发包人）</w:t>
      </w:r>
    </w:p>
    <w:p w14:paraId="01C7980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鉴于：</w:t>
      </w:r>
    </w:p>
    <w:p w14:paraId="2CC79D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1、贵公司将与公司（下称“承包人”）签署 （合同编号：</w:t>
      </w:r>
      <w:r>
        <w:rPr>
          <w:rFonts w:hint="default" w:ascii="Calibri" w:hAnsi="Calibri" w:cs="Calibri"/>
          <w:color w:val="000000"/>
          <w:sz w:val="24"/>
          <w:szCs w:val="24"/>
          <w:u w:val="single"/>
        </w:rPr>
        <w:t xml:space="preserve">                 </w:t>
      </w:r>
      <w:r>
        <w:rPr>
          <w:rFonts w:hint="default" w:ascii="Calibri" w:hAnsi="Calibri" w:cs="Calibri"/>
          <w:color w:val="000000"/>
          <w:sz w:val="24"/>
          <w:szCs w:val="24"/>
        </w:rPr>
        <w:t>，下称“合同”）；</w:t>
      </w:r>
    </w:p>
    <w:p w14:paraId="50C7B6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2、根据规定，为保证承包人严格按合同规定履行合同义务，承包人应按贵公司要求向贵公司提供一份经贵公司批准的由银行提供的履约保函；</w:t>
      </w:r>
    </w:p>
    <w:p w14:paraId="7B7D0D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 xml:space="preserve">3、本银行同意为承包人提供连带责任担保。 </w:t>
      </w:r>
    </w:p>
    <w:p w14:paraId="4507EE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 xml:space="preserve">本银行不可撤销、无条件地向贵公司提供总额为 </w:t>
      </w:r>
      <w:r>
        <w:rPr>
          <w:rFonts w:hint="default" w:ascii="Calibri" w:hAnsi="Calibri" w:cs="Calibri"/>
          <w:color w:val="000000"/>
          <w:sz w:val="24"/>
          <w:szCs w:val="24"/>
          <w:u w:val="single"/>
        </w:rPr>
        <w:t xml:space="preserve">           </w:t>
      </w:r>
      <w:r>
        <w:rPr>
          <w:rFonts w:hint="default" w:ascii="Calibri" w:hAnsi="Calibri" w:cs="Calibri"/>
          <w:color w:val="000000"/>
          <w:sz w:val="24"/>
          <w:szCs w:val="24"/>
        </w:rPr>
        <w:t>元整（小写：</w:t>
      </w:r>
      <w:r>
        <w:rPr>
          <w:rFonts w:hint="default" w:ascii="Calibri" w:hAnsi="Calibri" w:cs="Calibri"/>
          <w:color w:val="000000"/>
          <w:sz w:val="24"/>
          <w:szCs w:val="24"/>
          <w:u w:val="single"/>
        </w:rPr>
        <w:t xml:space="preserve">     </w:t>
      </w:r>
      <w:r>
        <w:rPr>
          <w:rFonts w:hint="default" w:ascii="Calibri" w:hAnsi="Calibri" w:cs="Calibri"/>
          <w:color w:val="000000"/>
          <w:sz w:val="24"/>
          <w:szCs w:val="24"/>
        </w:rPr>
        <w:t> ￥元）人民币的连带责任履约担保。如承包人在履行本合同过程中出现下述情况，贵公司有权在不向本银行提供任何证明资料、无须陈述任何理由、无论承包人同意与否的情况下，在任何时候书面要求本银行向贵公司支付上述担保总额之内的贵公司认为适宜的金额，本银行将无条件立即向贵公司予以支付：</w:t>
      </w:r>
    </w:p>
    <w:p w14:paraId="6E514F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如果贵公司认为在合同执行期间承包人未能履行合同规定的义务或未严格按照合同规定履行合同义务；</w:t>
      </w:r>
    </w:p>
    <w:p w14:paraId="3AE1CF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或在本保函有效期结束前，贵公司认为有必要继续延长本保函有效期，而承包人未根据贵公司要求的时间和内容提交新的履约保函。</w:t>
      </w:r>
    </w:p>
    <w:p w14:paraId="2D49C6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合同的任何变更、工程的分包，以及贵公司的任何疏漏、不容忍或宽恕均不解除本银行在本保函下的任何责任，且对本保函的效力不构成任何影响。上述有关合同变更、工程的分包等事项无须通知本银行。</w:t>
      </w:r>
    </w:p>
    <w:p w14:paraId="007A87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本银行承诺无条件放弃根据《中华人民共和国担保法》第20条所拥有的抗辩权利。</w:t>
      </w:r>
    </w:p>
    <w:p w14:paraId="1CC4D3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本保函自本银行签字、盖章之日起生效，至工程竣工验收合格、贵公司为整个工程签发工程接收证书三个月之后，或在本银行应贵公司要求支付担保金额达到本保函规定的限额后自动失效（上述两种条件满足一种即视为失效条件成立）。</w:t>
      </w:r>
    </w:p>
    <w:p w14:paraId="586849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本保函开出后，我行将通过下述确认方式向发包人指定银行发出确认电文，确认电文的关键内容包括：保函编号、合同编号、担保金额、受益人等。</w:t>
      </w:r>
    </w:p>
    <w:p w14:paraId="74DCEE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本保函受中华人民共和国法律的约束并依其解释。</w:t>
      </w:r>
    </w:p>
    <w:p w14:paraId="5BB04A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bdr w:val="none" w:color="auto" w:sz="0" w:space="0"/>
        </w:rPr>
        <w:t> </w:t>
      </w:r>
    </w:p>
    <w:p w14:paraId="2AB7EC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担保银行名称：</w:t>
      </w:r>
    </w:p>
    <w:p w14:paraId="128093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担保银行地址：</w:t>
      </w:r>
    </w:p>
    <w:p w14:paraId="533294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 xml:space="preserve">银行法定代表人（授权人）： </w:t>
      </w:r>
    </w:p>
    <w:p w14:paraId="6C45C02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 xml:space="preserve">银行盖章：                </w:t>
      </w:r>
    </w:p>
    <w:p w14:paraId="3D7E8D4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pPr>
      <w:r>
        <w:rPr>
          <w:rFonts w:hint="default" w:ascii="Calibri" w:hAnsi="Calibri" w:cs="Calibri"/>
          <w:color w:val="000000"/>
          <w:sz w:val="24"/>
          <w:szCs w:val="24"/>
        </w:rPr>
        <w:t xml:space="preserve">日期：                     </w:t>
      </w:r>
    </w:p>
    <w:p w14:paraId="5496C92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1D6CB5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2D6DFA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firstLine="400"/>
      </w:pPr>
      <w:r>
        <w:rPr>
          <w:bdr w:val="none" w:color="auto" w:sz="0" w:space="0"/>
        </w:rPr>
        <w:t> </w:t>
      </w:r>
    </w:p>
    <w:p w14:paraId="14281B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68DCD2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firstLine="400"/>
      </w:pPr>
      <w:r>
        <w:rPr>
          <w:bdr w:val="none" w:color="auto" w:sz="0" w:space="0"/>
        </w:rPr>
        <w:t> </w:t>
      </w:r>
    </w:p>
    <w:p w14:paraId="24F128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019FBBC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firstLine="400"/>
      </w:pPr>
      <w:r>
        <w:rPr>
          <w:bdr w:val="none" w:color="auto" w:sz="0" w:space="0"/>
        </w:rPr>
        <w:t> </w:t>
      </w:r>
    </w:p>
    <w:p w14:paraId="181C60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80" w:hanging="480"/>
      </w:pPr>
      <w:r>
        <w:rPr>
          <w:rFonts w:hint="default" w:ascii="Calibri" w:hAnsi="Calibri" w:cs="Calibri"/>
          <w:color w:val="000000"/>
          <w:sz w:val="24"/>
          <w:szCs w:val="24"/>
        </w:rPr>
        <w:t>注：若开具保函担保人对格式有特殊要求，在获得发包人同意后，承包人可使用担保人提供的保函格式，但其实质内容须与招标文件要求保持一致。</w:t>
      </w:r>
    </w:p>
    <w:p w14:paraId="40C88A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firstLine="400"/>
      </w:pPr>
      <w:r>
        <w:rPr>
          <w:bdr w:val="none" w:color="auto" w:sz="0" w:space="0"/>
        </w:rPr>
        <w:t> </w:t>
      </w:r>
    </w:p>
    <w:p w14:paraId="69C78D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bookmarkStart w:id="960" w:name="_Toc21558"/>
      <w:bookmarkStart w:id="961" w:name="_Toc79760398"/>
      <w:bookmarkStart w:id="962" w:name="_Toc17740"/>
      <w:bookmarkStart w:id="963" w:name="_Toc75438892"/>
      <w:r>
        <w:rPr>
          <w:rFonts w:hint="eastAsia" w:ascii="黑体" w:hAnsi="宋体" w:eastAsia="黑体" w:cs="黑体"/>
          <w:color w:val="000000"/>
          <w:sz w:val="28"/>
          <w:szCs w:val="28"/>
        </w:rPr>
        <w:t>附件三：保密协议</w:t>
      </w:r>
      <w:bookmarkEnd w:id="960"/>
      <w:bookmarkEnd w:id="961"/>
      <w:bookmarkEnd w:id="962"/>
      <w:bookmarkEnd w:id="963"/>
    </w:p>
    <w:p w14:paraId="1A97F8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4"/>
          <w:szCs w:val="24"/>
        </w:rPr>
        <w:t>发包人：</w:t>
      </w:r>
    </w:p>
    <w:p w14:paraId="4E97A2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4"/>
          <w:szCs w:val="24"/>
        </w:rPr>
        <w:t>承包人：</w:t>
      </w:r>
    </w:p>
    <w:p w14:paraId="28B093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4742E5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鉴于承包人承担的“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光伏基地项目”（</w:t>
      </w:r>
      <w:r>
        <w:rPr>
          <w:rFonts w:hint="eastAsia" w:ascii="宋体" w:hAnsi="宋体" w:eastAsia="宋体" w:cs="宋体"/>
          <w:color w:val="0000FF"/>
          <w:sz w:val="24"/>
          <w:szCs w:val="24"/>
        </w:rPr>
        <w:t>以下简称[  ]光伏 EPC项目</w:t>
      </w:r>
      <w:r>
        <w:rPr>
          <w:rFonts w:hint="eastAsia" w:ascii="宋体" w:hAnsi="宋体" w:eastAsia="宋体" w:cs="宋体"/>
          <w:color w:val="000000"/>
          <w:sz w:val="24"/>
          <w:szCs w:val="24"/>
        </w:rPr>
        <w:t>）涉及发包人商业秘密，为进一步明确双方权利义务，保护双方利益，经协商签订此协议。</w:t>
      </w:r>
    </w:p>
    <w:p w14:paraId="06BF9B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pPr>
      <w:r>
        <w:rPr>
          <w:rFonts w:hint="eastAsia" w:ascii="宋体" w:hAnsi="宋体" w:eastAsia="宋体" w:cs="宋体"/>
          <w:color w:val="000000"/>
          <w:sz w:val="24"/>
          <w:szCs w:val="24"/>
        </w:rPr>
        <w:t>1.本协议约定需要保密的信息（以下简称保密信息）包括以下内容：</w:t>
      </w:r>
    </w:p>
    <w:p w14:paraId="4540F1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1.1发包人提供给承包人的、承包人知晓的涉及发包人生产、经营管理活动的信息和资料，包括但不限于：指标、数据、统计报表、分析模型及生产经营管理过程中所涉及的相关信息等。</w:t>
      </w:r>
    </w:p>
    <w:p w14:paraId="5A0D8A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64" w:name="_Toc79760399"/>
      <w:r>
        <w:rPr>
          <w:rFonts w:hint="eastAsia" w:ascii="宋体" w:hAnsi="宋体" w:eastAsia="宋体" w:cs="宋体"/>
          <w:color w:val="000000"/>
          <w:sz w:val="24"/>
          <w:szCs w:val="24"/>
        </w:rPr>
        <w:t>1.2 承包人知晓的涉及发包人内部规章制度、工作流程的文件。</w:t>
      </w:r>
      <w:bookmarkEnd w:id="964"/>
    </w:p>
    <w:p w14:paraId="364C32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65" w:name="_Toc79760400"/>
      <w:r>
        <w:rPr>
          <w:rFonts w:hint="eastAsia" w:ascii="宋体" w:hAnsi="宋体" w:eastAsia="宋体" w:cs="宋体"/>
          <w:color w:val="000000"/>
          <w:sz w:val="24"/>
          <w:szCs w:val="24"/>
        </w:rPr>
        <w:t>1.3 承包人在项目建设过程中，通过调研、访谈所收集的发包人生产经营管理信息以及通过发包人内部网站获得的信息。</w:t>
      </w:r>
      <w:bookmarkEnd w:id="965"/>
    </w:p>
    <w:p w14:paraId="78353A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66" w:name="_Toc79760401"/>
      <w:r>
        <w:rPr>
          <w:rFonts w:hint="eastAsia" w:ascii="宋体" w:hAnsi="宋体" w:eastAsia="宋体" w:cs="宋体"/>
          <w:color w:val="000000"/>
          <w:sz w:val="24"/>
          <w:szCs w:val="24"/>
        </w:rPr>
        <w:t>1.4 光伏EPC项目建设、试运行及后续各阶段，系统中采集、传输、存储的发包人生产经营管理信息、数据。</w:t>
      </w:r>
      <w:bookmarkEnd w:id="966"/>
    </w:p>
    <w:p w14:paraId="49B772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67" w:name="_Toc79760402"/>
      <w:r>
        <w:rPr>
          <w:rFonts w:hint="eastAsia" w:ascii="宋体" w:hAnsi="宋体" w:eastAsia="宋体" w:cs="宋体"/>
          <w:color w:val="000000"/>
          <w:sz w:val="24"/>
          <w:szCs w:val="24"/>
        </w:rPr>
        <w:t>1.5 光伏EPC项目建设的成果物，包括但不限于关键指标体系、业务分析模型、系统所有设计方案、文档资料、程序代码等。</w:t>
      </w:r>
      <w:bookmarkEnd w:id="967"/>
    </w:p>
    <w:p w14:paraId="78FB4F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68" w:name="_Toc79760403"/>
      <w:r>
        <w:rPr>
          <w:rFonts w:hint="eastAsia" w:ascii="宋体" w:hAnsi="宋体" w:eastAsia="宋体" w:cs="宋体"/>
          <w:color w:val="000000"/>
          <w:sz w:val="24"/>
          <w:szCs w:val="24"/>
        </w:rPr>
        <w:t>1.6 其他发包人认为需要保密的信息。</w:t>
      </w:r>
      <w:bookmarkEnd w:id="968"/>
    </w:p>
    <w:p w14:paraId="173989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69" w:name="_Toc79760404"/>
      <w:r>
        <w:rPr>
          <w:rFonts w:hint="eastAsia" w:ascii="宋体" w:hAnsi="宋体" w:eastAsia="宋体" w:cs="宋体"/>
          <w:color w:val="000000"/>
          <w:sz w:val="24"/>
          <w:szCs w:val="24"/>
        </w:rPr>
        <w:t>1.7 上述保密信息的范围包括发包人及下属相关单位，保密信息的形式包括纸质文件、电子版本以及磁盘、光盘或其他存储设备记录或承载的信息。</w:t>
      </w:r>
      <w:bookmarkEnd w:id="969"/>
    </w:p>
    <w:p w14:paraId="44EFA0D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pPr>
      <w:r>
        <w:rPr>
          <w:rFonts w:hint="eastAsia" w:ascii="宋体" w:hAnsi="宋体" w:eastAsia="宋体" w:cs="宋体"/>
          <w:color w:val="000000"/>
          <w:sz w:val="24"/>
          <w:szCs w:val="24"/>
        </w:rPr>
        <w:t>2.保密责任</w:t>
      </w:r>
    </w:p>
    <w:p w14:paraId="59A9D2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2.1承包人有义务采取必要的措施对所有来自发包人的保密信息严格保密，包括执行有效的安全措施和操作规程。</w:t>
      </w:r>
    </w:p>
    <w:p w14:paraId="73EB97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70" w:name="_Toc79760405"/>
      <w:r>
        <w:rPr>
          <w:rFonts w:hint="eastAsia" w:ascii="宋体" w:hAnsi="宋体" w:eastAsia="宋体" w:cs="宋体"/>
          <w:color w:val="000000"/>
          <w:sz w:val="24"/>
          <w:szCs w:val="24"/>
        </w:rPr>
        <w:t>2.2 未经发包人事先同意，承包人不得将与本项目有关的任何保密信息用于发表、公布或对外泄露。</w:t>
      </w:r>
      <w:bookmarkEnd w:id="970"/>
    </w:p>
    <w:p w14:paraId="2CB2C1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2.3未经发包人事先同意，承包人不得以任何形式对本协议第1条约定的保密信息进行复制（包括下载、文件拷贝、复印、扫描或打印等，下同）。</w:t>
      </w:r>
    </w:p>
    <w:p w14:paraId="49C235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2.4 一旦发现或有举报承包人员出现泄密或其他违约行为并经证实后，承包人应对有关责任人员及时予以内部处分。承包人负责承担由于泄密而产生的一切后果与法律责任，并对发包人给予充分的赔偿。</w:t>
      </w:r>
    </w:p>
    <w:p w14:paraId="33B892D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2.5 对有可能接触发包人保密信息的承包人人员（承包人自身员工以及与承包人签署分包合同的单位人员均视同承包人人员），承包人应确定范围，并将相关人员的姓名及所需涉及的系统权限书面提交给发包人，经发包人同意后才可进入项目。承包人应与上述人员独立签署相关保密协议以保证发包人信息安全。承包人应在本合同生效后五个工作日内，将与上述人员签署的保密协议副本或复印件提交发包人。</w:t>
      </w:r>
    </w:p>
    <w:p w14:paraId="605484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pPr>
      <w:r>
        <w:rPr>
          <w:rFonts w:hint="eastAsia" w:ascii="宋体" w:hAnsi="宋体" w:eastAsia="宋体" w:cs="宋体"/>
          <w:color w:val="000000"/>
          <w:sz w:val="24"/>
          <w:szCs w:val="24"/>
        </w:rPr>
        <w:t>3.使用限制</w:t>
      </w:r>
    </w:p>
    <w:p w14:paraId="4506D0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3.1 在光伏EPC项目调试过程中必须对保密信息进行复制时应事先征得发包人同意，并在使用后及时删除或销毁。对于保密信息的复制时间、内容以及删除、销毁情况必须保留书面记录。</w:t>
      </w:r>
    </w:p>
    <w:p w14:paraId="3E5B60D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3.2承包人在光伏EPC项目建设过程中的全部成果及说明文件只能使用（运行）于发包人内部网络。承包人应采取有效的管理措施和技术手段保证上述保密信息不向互联网（外网）等泄露。</w:t>
      </w:r>
    </w:p>
    <w:p w14:paraId="61BC9E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3.3承包人应在光伏EPC项目最终验收后三十天内，将发包人提供的保密信息纸质资料退还承包人，对项目开发人员计算机及其他存储介质中的保密信息进行清理和删除，并对保密信息的清理和删除情况向发包人提交书面报告。</w:t>
      </w:r>
    </w:p>
    <w:p w14:paraId="47C709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3.4本协议约定的保密信息的保密期限为光伏EPC项目合同签订开始至合同终止后3年。</w:t>
      </w:r>
    </w:p>
    <w:p w14:paraId="0C4F53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4.其他</w:t>
      </w:r>
    </w:p>
    <w:p w14:paraId="5880C7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4.1本保密协议签订后，对于以下原因造成的信息公开，签约双方都不承担责任：</w:t>
      </w:r>
    </w:p>
    <w:p w14:paraId="36F69D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201"/>
        </w:tabs>
        <w:spacing w:before="0" w:beforeAutospacing="0" w:after="0" w:afterAutospacing="0" w:line="360" w:lineRule="auto"/>
        <w:ind w:left="0" w:firstLine="480"/>
      </w:pPr>
      <w:r>
        <w:rPr>
          <w:rFonts w:hint="eastAsia" w:ascii="宋体" w:hAnsi="宋体" w:eastAsia="宋体" w:cs="宋体"/>
          <w:color w:val="000000"/>
          <w:sz w:val="24"/>
          <w:szCs w:val="24"/>
        </w:rPr>
        <w:t>a.发包人在提供给承包人前已经公开发布的信息；</w:t>
      </w:r>
    </w:p>
    <w:p w14:paraId="74851B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201"/>
        </w:tabs>
        <w:spacing w:before="0" w:beforeAutospacing="0" w:after="0" w:afterAutospacing="0" w:line="360" w:lineRule="auto"/>
        <w:ind w:left="0" w:firstLine="480"/>
      </w:pPr>
      <w:r>
        <w:rPr>
          <w:rFonts w:hint="eastAsia" w:ascii="宋体" w:hAnsi="宋体" w:eastAsia="宋体" w:cs="宋体"/>
          <w:color w:val="000000"/>
          <w:sz w:val="24"/>
          <w:szCs w:val="24"/>
        </w:rPr>
        <w:t>b.非承包人（含承包人工作人员）的原因导致的信息公开。</w:t>
      </w:r>
    </w:p>
    <w:p w14:paraId="5C2FA1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4.2未经另一方事先书面同意，任何一方不得出让或通过其他方式转让其在本协议项下的任何权利或义务。</w:t>
      </w:r>
    </w:p>
    <w:p w14:paraId="28385E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 xml:space="preserve">4.3本保密协议适用中华人民共和国法律法规。签约双方同意对任何有关本保密协议的争议应协商解决，如果协商无效，双方均可向有管辖权的人民法院提起诉讼。 </w:t>
      </w:r>
    </w:p>
    <w:p w14:paraId="68C464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4.4对本项目合同签署后至本协议签署前的时间内，承包人的行为也应按本协议的要求予以规范。本协议中约定的承包人责任起始日期和追溯期从</w:t>
      </w:r>
      <w:r>
        <w:rPr>
          <w:rFonts w:hint="default" w:ascii="Calibri" w:hAnsi="Calibri" w:cs="Calibri"/>
          <w:color w:val="0000FF"/>
          <w:sz w:val="24"/>
          <w:szCs w:val="24"/>
        </w:rPr>
        <w:t>本</w:t>
      </w:r>
      <w:r>
        <w:rPr>
          <w:rFonts w:hint="eastAsia" w:ascii="宋体" w:hAnsi="宋体" w:eastAsia="宋体" w:cs="宋体"/>
          <w:color w:val="000000"/>
          <w:sz w:val="24"/>
          <w:szCs w:val="24"/>
        </w:rPr>
        <w:t>合同签订之日起。</w:t>
      </w:r>
    </w:p>
    <w:p w14:paraId="07FE84A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4.5本协议自签署之日起生效（以签署时间在后一方的签署日期为准）。</w:t>
      </w:r>
    </w:p>
    <w:p w14:paraId="60E62C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4.6 本协议一式六份具有同等效力，发包人、承包人各执三份。</w:t>
      </w:r>
    </w:p>
    <w:p w14:paraId="1FAD37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53"/>
        <w:gridCol w:w="4269"/>
      </w:tblGrid>
      <w:tr w14:paraId="3BFB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blCellSpacing w:w="0" w:type="dxa"/>
          <w:jc w:val="center"/>
        </w:trPr>
        <w:tc>
          <w:tcPr>
            <w:tcW w:w="4434" w:type="dxa"/>
            <w:tcBorders>
              <w:top w:val="nil"/>
              <w:left w:val="nil"/>
              <w:bottom w:val="nil"/>
              <w:right w:val="nil"/>
            </w:tcBorders>
            <w:shd w:val="clear"/>
            <w:vAlign w:val="center"/>
          </w:tcPr>
          <w:p w14:paraId="7556783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 xml:space="preserve">发包人：             （盖章）     </w:t>
            </w:r>
          </w:p>
        </w:tc>
        <w:tc>
          <w:tcPr>
            <w:tcW w:w="4467" w:type="dxa"/>
            <w:tcBorders>
              <w:top w:val="nil"/>
              <w:left w:val="nil"/>
              <w:bottom w:val="nil"/>
              <w:right w:val="nil"/>
            </w:tcBorders>
            <w:shd w:val="clear"/>
            <w:vAlign w:val="center"/>
          </w:tcPr>
          <w:p w14:paraId="08DA50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承包人：           （盖章）</w:t>
            </w:r>
          </w:p>
        </w:tc>
      </w:tr>
      <w:tr w14:paraId="717F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blCellSpacing w:w="0" w:type="dxa"/>
          <w:jc w:val="center"/>
        </w:trPr>
        <w:tc>
          <w:tcPr>
            <w:tcW w:w="4434" w:type="dxa"/>
            <w:tcBorders>
              <w:top w:val="nil"/>
              <w:left w:val="nil"/>
              <w:bottom w:val="nil"/>
              <w:right w:val="nil"/>
            </w:tcBorders>
            <w:shd w:val="clear"/>
            <w:vAlign w:val="center"/>
          </w:tcPr>
          <w:p w14:paraId="718A87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法定代表人/授权代表（签字）：</w:t>
            </w:r>
          </w:p>
        </w:tc>
        <w:tc>
          <w:tcPr>
            <w:tcW w:w="4467" w:type="dxa"/>
            <w:tcBorders>
              <w:top w:val="nil"/>
              <w:left w:val="nil"/>
              <w:bottom w:val="nil"/>
              <w:right w:val="nil"/>
            </w:tcBorders>
            <w:shd w:val="clear"/>
            <w:vAlign w:val="center"/>
          </w:tcPr>
          <w:p w14:paraId="13CEFC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法定代表人/授权代表（签字）：</w:t>
            </w:r>
          </w:p>
        </w:tc>
      </w:tr>
      <w:tr w14:paraId="6140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6" w:hRule="atLeast"/>
          <w:tblCellSpacing w:w="0" w:type="dxa"/>
          <w:jc w:val="center"/>
        </w:trPr>
        <w:tc>
          <w:tcPr>
            <w:tcW w:w="4434" w:type="dxa"/>
            <w:tcBorders>
              <w:top w:val="nil"/>
              <w:left w:val="nil"/>
              <w:bottom w:val="nil"/>
              <w:right w:val="nil"/>
            </w:tcBorders>
            <w:shd w:val="clear"/>
            <w:vAlign w:val="center"/>
          </w:tcPr>
          <w:p w14:paraId="2ADF6B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签订日期：     年   月   日</w:t>
            </w:r>
          </w:p>
        </w:tc>
        <w:tc>
          <w:tcPr>
            <w:tcW w:w="4467" w:type="dxa"/>
            <w:tcBorders>
              <w:top w:val="nil"/>
              <w:left w:val="nil"/>
              <w:bottom w:val="nil"/>
              <w:right w:val="nil"/>
            </w:tcBorders>
            <w:shd w:val="clear"/>
            <w:vAlign w:val="center"/>
          </w:tcPr>
          <w:p w14:paraId="41B4358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签订日期：     年   月   日</w:t>
            </w:r>
          </w:p>
        </w:tc>
      </w:tr>
      <w:tr w14:paraId="4E97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blCellSpacing w:w="0" w:type="dxa"/>
          <w:jc w:val="center"/>
        </w:trPr>
        <w:tc>
          <w:tcPr>
            <w:tcW w:w="4434" w:type="dxa"/>
            <w:tcBorders>
              <w:top w:val="nil"/>
              <w:left w:val="nil"/>
              <w:bottom w:val="nil"/>
              <w:right w:val="nil"/>
            </w:tcBorders>
            <w:shd w:val="clear"/>
            <w:vAlign w:val="center"/>
          </w:tcPr>
          <w:p w14:paraId="071350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地址：</w:t>
            </w:r>
          </w:p>
        </w:tc>
        <w:tc>
          <w:tcPr>
            <w:tcW w:w="4467" w:type="dxa"/>
            <w:tcBorders>
              <w:top w:val="nil"/>
              <w:left w:val="nil"/>
              <w:bottom w:val="nil"/>
              <w:right w:val="nil"/>
            </w:tcBorders>
            <w:shd w:val="clear"/>
            <w:vAlign w:val="center"/>
          </w:tcPr>
          <w:p w14:paraId="1AEE27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地址：</w:t>
            </w:r>
          </w:p>
        </w:tc>
      </w:tr>
      <w:tr w14:paraId="1D19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1" w:hRule="atLeast"/>
          <w:tblCellSpacing w:w="0" w:type="dxa"/>
          <w:jc w:val="center"/>
        </w:trPr>
        <w:tc>
          <w:tcPr>
            <w:tcW w:w="4434" w:type="dxa"/>
            <w:tcBorders>
              <w:top w:val="nil"/>
              <w:left w:val="nil"/>
              <w:bottom w:val="nil"/>
              <w:right w:val="nil"/>
            </w:tcBorders>
            <w:shd w:val="clear"/>
            <w:vAlign w:val="center"/>
          </w:tcPr>
          <w:p w14:paraId="49BA9C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 xml:space="preserve">邮编： </w:t>
            </w:r>
          </w:p>
        </w:tc>
        <w:tc>
          <w:tcPr>
            <w:tcW w:w="4467" w:type="dxa"/>
            <w:tcBorders>
              <w:top w:val="nil"/>
              <w:left w:val="nil"/>
              <w:bottom w:val="nil"/>
              <w:right w:val="nil"/>
            </w:tcBorders>
            <w:shd w:val="clear"/>
            <w:vAlign w:val="center"/>
          </w:tcPr>
          <w:p w14:paraId="1ED0AB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邮编：</w:t>
            </w:r>
          </w:p>
        </w:tc>
      </w:tr>
      <w:tr w14:paraId="7AB3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202788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联系人：</w:t>
            </w:r>
          </w:p>
        </w:tc>
        <w:tc>
          <w:tcPr>
            <w:tcW w:w="4467" w:type="dxa"/>
            <w:tcBorders>
              <w:top w:val="nil"/>
              <w:left w:val="nil"/>
              <w:bottom w:val="nil"/>
              <w:right w:val="nil"/>
            </w:tcBorders>
            <w:shd w:val="clear"/>
            <w:vAlign w:val="center"/>
          </w:tcPr>
          <w:p w14:paraId="7D5A0D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联系人：</w:t>
            </w:r>
          </w:p>
        </w:tc>
      </w:tr>
      <w:tr w14:paraId="63A5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6BC41E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电话：</w:t>
            </w:r>
          </w:p>
        </w:tc>
        <w:tc>
          <w:tcPr>
            <w:tcW w:w="4467" w:type="dxa"/>
            <w:tcBorders>
              <w:top w:val="nil"/>
              <w:left w:val="nil"/>
              <w:bottom w:val="nil"/>
              <w:right w:val="nil"/>
            </w:tcBorders>
            <w:shd w:val="clear"/>
            <w:vAlign w:val="center"/>
          </w:tcPr>
          <w:p w14:paraId="3BCCD2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电话：</w:t>
            </w:r>
          </w:p>
        </w:tc>
      </w:tr>
      <w:tr w14:paraId="33AD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639E977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邮箱：</w:t>
            </w:r>
          </w:p>
        </w:tc>
        <w:tc>
          <w:tcPr>
            <w:tcW w:w="4467" w:type="dxa"/>
            <w:tcBorders>
              <w:top w:val="nil"/>
              <w:left w:val="nil"/>
              <w:bottom w:val="nil"/>
              <w:right w:val="nil"/>
            </w:tcBorders>
            <w:shd w:val="clear"/>
            <w:vAlign w:val="center"/>
          </w:tcPr>
          <w:p w14:paraId="085D5F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邮箱：</w:t>
            </w:r>
          </w:p>
        </w:tc>
      </w:tr>
      <w:tr w14:paraId="40A4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blCellSpacing w:w="0" w:type="dxa"/>
          <w:jc w:val="center"/>
        </w:trPr>
        <w:tc>
          <w:tcPr>
            <w:tcW w:w="4434" w:type="dxa"/>
            <w:tcBorders>
              <w:top w:val="nil"/>
              <w:left w:val="nil"/>
              <w:bottom w:val="nil"/>
              <w:right w:val="nil"/>
            </w:tcBorders>
            <w:shd w:val="clear"/>
            <w:vAlign w:val="center"/>
          </w:tcPr>
          <w:p w14:paraId="0E2F895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开户银行：</w:t>
            </w:r>
          </w:p>
        </w:tc>
        <w:tc>
          <w:tcPr>
            <w:tcW w:w="4467" w:type="dxa"/>
            <w:tcBorders>
              <w:top w:val="nil"/>
              <w:left w:val="nil"/>
              <w:bottom w:val="nil"/>
              <w:right w:val="nil"/>
            </w:tcBorders>
            <w:shd w:val="clear"/>
            <w:vAlign w:val="center"/>
          </w:tcPr>
          <w:p w14:paraId="2F97C73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开户银行：</w:t>
            </w:r>
          </w:p>
        </w:tc>
      </w:tr>
      <w:tr w14:paraId="395F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blCellSpacing w:w="0" w:type="dxa"/>
          <w:jc w:val="center"/>
        </w:trPr>
        <w:tc>
          <w:tcPr>
            <w:tcW w:w="4434" w:type="dxa"/>
            <w:tcBorders>
              <w:top w:val="nil"/>
              <w:left w:val="nil"/>
              <w:bottom w:val="nil"/>
              <w:right w:val="nil"/>
            </w:tcBorders>
            <w:shd w:val="clear"/>
            <w:vAlign w:val="center"/>
          </w:tcPr>
          <w:p w14:paraId="327243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账号：</w:t>
            </w:r>
          </w:p>
        </w:tc>
        <w:tc>
          <w:tcPr>
            <w:tcW w:w="4467" w:type="dxa"/>
            <w:tcBorders>
              <w:top w:val="nil"/>
              <w:left w:val="nil"/>
              <w:bottom w:val="nil"/>
              <w:right w:val="nil"/>
            </w:tcBorders>
            <w:shd w:val="clear"/>
            <w:vAlign w:val="center"/>
          </w:tcPr>
          <w:p w14:paraId="77CC29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账号：</w:t>
            </w:r>
          </w:p>
        </w:tc>
      </w:tr>
      <w:tr w14:paraId="60AB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blCellSpacing w:w="0" w:type="dxa"/>
          <w:jc w:val="center"/>
        </w:trPr>
        <w:tc>
          <w:tcPr>
            <w:tcW w:w="4434" w:type="dxa"/>
            <w:tcBorders>
              <w:top w:val="nil"/>
              <w:left w:val="nil"/>
              <w:bottom w:val="nil"/>
              <w:right w:val="nil"/>
            </w:tcBorders>
            <w:shd w:val="clear"/>
            <w:vAlign w:val="center"/>
          </w:tcPr>
          <w:p w14:paraId="7CAC86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税号：</w:t>
            </w:r>
          </w:p>
        </w:tc>
        <w:tc>
          <w:tcPr>
            <w:tcW w:w="4467" w:type="dxa"/>
            <w:tcBorders>
              <w:top w:val="nil"/>
              <w:left w:val="nil"/>
              <w:bottom w:val="nil"/>
              <w:right w:val="nil"/>
            </w:tcBorders>
            <w:shd w:val="clear"/>
            <w:vAlign w:val="center"/>
          </w:tcPr>
          <w:p w14:paraId="428F33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税号：</w:t>
            </w:r>
          </w:p>
        </w:tc>
      </w:tr>
    </w:tbl>
    <w:p w14:paraId="074B23D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7127A75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bookmarkStart w:id="971" w:name="_Toc13846"/>
      <w:bookmarkStart w:id="972" w:name="_Toc14036"/>
      <w:r>
        <w:rPr>
          <w:rFonts w:hint="eastAsia" w:ascii="宋体" w:hAnsi="宋体" w:eastAsia="宋体" w:cs="宋体"/>
          <w:color w:val="000000"/>
          <w:sz w:val="24"/>
          <w:szCs w:val="24"/>
        </w:rPr>
        <w:br w:type="page"/>
      </w:r>
      <w:r>
        <w:rPr>
          <w:rFonts w:hint="eastAsia" w:ascii="宋体" w:hAnsi="宋体" w:eastAsia="宋体" w:cs="宋体"/>
          <w:color w:val="000000"/>
          <w:sz w:val="24"/>
          <w:szCs w:val="24"/>
        </w:rPr>
        <w:t> </w:t>
      </w:r>
      <w:bookmarkEnd w:id="971"/>
      <w:bookmarkEnd w:id="972"/>
    </w:p>
    <w:p w14:paraId="0EBEA8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eastAsia" w:ascii="黑体" w:hAnsi="宋体" w:eastAsia="黑体" w:cs="黑体"/>
          <w:color w:val="000000"/>
          <w:sz w:val="28"/>
          <w:szCs w:val="28"/>
        </w:rPr>
        <w:t>附件四  施工安全生产协议</w:t>
      </w:r>
    </w:p>
    <w:p w14:paraId="764A8F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r>
        <w:rPr>
          <w:rFonts w:hint="default" w:ascii="Calibri" w:hAnsi="Calibri" w:cs="Calibri"/>
          <w:color w:val="000000"/>
          <w:sz w:val="28"/>
          <w:szCs w:val="28"/>
        </w:rPr>
        <w:t>施工安全生产协议</w:t>
      </w:r>
    </w:p>
    <w:p w14:paraId="2274FBE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24"/>
          <w:szCs w:val="24"/>
        </w:rPr>
        <w:t>主合同编号：</w:t>
      </w:r>
    </w:p>
    <w:p w14:paraId="62A04C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24"/>
          <w:szCs w:val="24"/>
        </w:rPr>
        <w:t>发包人（以下简称“甲方”）：</w:t>
      </w:r>
      <w:r>
        <w:rPr>
          <w:rFonts w:hint="default" w:ascii="Times New Roman" w:hAnsi="Times New Roman" w:cs="Times New Roman"/>
          <w:color w:val="000000"/>
          <w:sz w:val="24"/>
          <w:szCs w:val="24"/>
          <w:u w:val="single"/>
        </w:rPr>
        <w:t xml:space="preserve">                                                </w:t>
      </w:r>
    </w:p>
    <w:p w14:paraId="340C37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24"/>
          <w:szCs w:val="24"/>
        </w:rPr>
        <w:t xml:space="preserve">承包人（以下简称“乙方”）：  </w:t>
      </w:r>
      <w:r>
        <w:rPr>
          <w:rFonts w:hint="eastAsia" w:ascii="宋体" w:hAnsi="宋体" w:eastAsia="宋体" w:cs="宋体"/>
          <w:color w:val="000000"/>
          <w:sz w:val="24"/>
          <w:szCs w:val="24"/>
          <w:u w:val="single"/>
        </w:rPr>
        <w:t xml:space="preserve">                                              </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u w:val="single"/>
        </w:rPr>
        <w:t>  </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u w:val="single"/>
        </w:rPr>
        <w:t xml:space="preserve">             </w:t>
      </w:r>
    </w:p>
    <w:p w14:paraId="21D8DC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24"/>
          <w:szCs w:val="24"/>
        </w:rPr>
        <w:t>        甲乙双方根据合同约定，为贯彻“安全第一，预防为主、综合治理”方针，明确双方的安全责任，确保施工全过程的人身、设备和电网安全，根据国家有关法律法规，遵循平等协商的原则签订安全协议。</w:t>
      </w:r>
    </w:p>
    <w:p w14:paraId="4CE539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73" w:name="_Toc79760406"/>
      <w:r>
        <w:rPr>
          <w:rFonts w:hint="default" w:ascii="Times New Roman" w:hAnsi="Times New Roman" w:cs="Times New Roman"/>
          <w:color w:val="000000"/>
          <w:sz w:val="24"/>
          <w:szCs w:val="24"/>
        </w:rPr>
        <w:t>1 总则</w:t>
      </w:r>
      <w:bookmarkEnd w:id="973"/>
    </w:p>
    <w:p w14:paraId="41981A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1.1 双方均应认真执行“安全第一，预防为主、综合治理”的安全生产方针，落实各自的安全责任，查找事故隐患并采取相应措施，共同做好现场的安全、健康、环保工作，避免事故的发生，提高安全管理水平。</w:t>
      </w:r>
    </w:p>
    <w:p w14:paraId="7F47CA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1.2 双方应加强对违章指挥、违章作业的管理，充分发挥安全保证体系和安全监督体系的作用，共同遵守国家的安全法律法规，认真执行国家、行业、企业标准。</w:t>
      </w:r>
    </w:p>
    <w:p w14:paraId="368483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1.3 甲方对在安全生产施工过程中做出突出贡献的乙方先进集体和个人进行表彰奖励，对存在的安全生产违规、违章行为进行处罚，奖惩办法按甲方的有关规定执行。乙方必须根据本单位的具体情况制定相应的奖惩制度并严格执行。</w:t>
      </w:r>
    </w:p>
    <w:p w14:paraId="75D9AA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1.4 甲乙双方各级人员，必须熟悉、</w:t>
      </w:r>
      <w:r>
        <w:rPr>
          <w:rFonts w:hint="default" w:ascii="Times New Roman" w:hAnsi="Times New Roman" w:cs="Times New Roman"/>
          <w:color w:val="0000FF"/>
          <w:sz w:val="24"/>
          <w:szCs w:val="24"/>
        </w:rPr>
        <w:t>执行《电力设备典型消防规程》等，以及各自企业安全技术管理规程、检修工艺技术规程与特种设备使用操作规程、制度；特殊工种必须持证上岗。上述电力行业发布的规程、规定，乙方必须自购并组织学习。</w:t>
      </w:r>
    </w:p>
    <w:p w14:paraId="14EE80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1.5 甲乙双方指派安全代表负责与对方联系安全方面的工作。双方应以工作联系单、通知、传真、电话等方式联系对方，双方在接到对方的联系时，应于24小时内予以响应。</w:t>
      </w:r>
    </w:p>
    <w:p w14:paraId="2FD939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1.6 安全协议与项目合同具有相同的法律效力，甲、乙双方都受本协议的约束。</w:t>
      </w:r>
    </w:p>
    <w:p w14:paraId="400D63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74" w:name="_Toc79760407"/>
      <w:r>
        <w:rPr>
          <w:rFonts w:hint="default" w:ascii="Times New Roman" w:hAnsi="Times New Roman" w:cs="Times New Roman"/>
          <w:color w:val="000000"/>
          <w:sz w:val="24"/>
          <w:szCs w:val="24"/>
        </w:rPr>
        <w:t>2. 外包工程安全目标</w:t>
      </w:r>
      <w:bookmarkEnd w:id="974"/>
    </w:p>
    <w:p w14:paraId="48F35D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2.1 总体目标：零事故、零伤害、零污染；</w:t>
      </w:r>
    </w:p>
    <w:p w14:paraId="73EAC5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2.2 具体目标：</w:t>
      </w:r>
    </w:p>
    <w:p w14:paraId="5DF824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 杜绝重伤、死亡事故的发生；</w:t>
      </w:r>
    </w:p>
    <w:p w14:paraId="7626AB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2) 安全隐患整改率必须保证在时限内达到100%，杜绝出现重大隐患；</w:t>
      </w:r>
    </w:p>
    <w:p w14:paraId="7C7BEB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 不发生火灾事故，火险隐患整改率必须保证在时限内达到100%；</w:t>
      </w:r>
    </w:p>
    <w:p w14:paraId="482A6F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 保证外包工程建设、检修或调试期间不损坏电厂的设备、设施，不影响电厂正常生产运行。</w:t>
      </w:r>
    </w:p>
    <w:p w14:paraId="4471F4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75" w:name="_Toc79760408"/>
      <w:r>
        <w:rPr>
          <w:rFonts w:hint="default" w:ascii="Times New Roman" w:hAnsi="Times New Roman" w:cs="Times New Roman"/>
          <w:color w:val="000000"/>
          <w:sz w:val="24"/>
          <w:szCs w:val="24"/>
        </w:rPr>
        <w:t>3. 甲方安全工作的权利、义务</w:t>
      </w:r>
      <w:bookmarkEnd w:id="975"/>
    </w:p>
    <w:p w14:paraId="2DC5BC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3.1 有权对乙方安全资质进行审查：</w:t>
      </w:r>
    </w:p>
    <w:p w14:paraId="380C36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 有权审查乙方是否具备政府有关部门颁发的安全资格证书。</w:t>
      </w:r>
    </w:p>
    <w:p w14:paraId="2B09F9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2) 有权审查乙方是否具备有效的营业执照、施工资质证书、法人代表资格证书、安全生产许可证和近三年的安全施工记录。</w:t>
      </w:r>
    </w:p>
    <w:p w14:paraId="483C41B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 有权审查乙方安全管理机构及其专、兼职安全管理人员是否符合要求。</w:t>
      </w:r>
    </w:p>
    <w:p w14:paraId="2EDAD4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 有权审查乙方保证安全施工的工器具、防护设施、用具等能否满足安全的要求。涉及定期试验的工器具、绝缘用具、安全防护用品都应出具有检测、试验资质部门核发的检验报告。</w:t>
      </w:r>
    </w:p>
    <w:p w14:paraId="089B8F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5) 有权审查乙方施工人员的居民身份证、户口暂住证、健康证等身份证明。</w:t>
      </w:r>
    </w:p>
    <w:p w14:paraId="1D7CDD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6) 有权审查乙方特种作业人员是否持有有效的《特种作业操作证》。</w:t>
      </w:r>
    </w:p>
    <w:p w14:paraId="4B1FE9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3.2 开工前对乙方的项目负责人、工程技术人员和安全人员进行涉及合同约定工作项目的安全技术交底，并做相关的记录。</w:t>
      </w:r>
    </w:p>
    <w:p w14:paraId="18496AE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3.3 在有危险性的生产区域（指存在触电、高处坠落、爆炸、起重伤害、中毒和窒息、机械伤害、火灾、灼烫等危险可能引起人身伤亡和设备事故的场所）处作业时，甲方有权审查乙方采取的安全技术措施是否符合现场要求并监督乙方实施。</w:t>
      </w:r>
    </w:p>
    <w:p w14:paraId="53F5B7C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3.4 落实合同中规定由甲方承担的有关健康安全环保、劳动保护等事宜。</w:t>
      </w:r>
    </w:p>
    <w:p w14:paraId="4FFCAC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3.5 负责对乙方人员进行入场前三级安全教育，考试成绩不合格者，不许进入施工现场。负责监督乙方人员的安全教育培训情况，未经过乙方项目部安全教育培训合格的人员不准上岗。</w:t>
      </w:r>
    </w:p>
    <w:p w14:paraId="4F11A4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3.6 对特殊作业、危险作业的施工项目，甲方和监理单位有权督促乙方编制“三措两案”、填写特殊作业措施票并监督其实施。</w:t>
      </w:r>
    </w:p>
    <w:p w14:paraId="6009A4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3.7 甲方负责组织的安全检查和隐患排查活动，乙方应派有关人员参加，对查出的问题，乙方应及时做好整改落实工作。</w:t>
      </w:r>
    </w:p>
    <w:p w14:paraId="392A8A8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3.8 甲方或监理单位的安全人员可随时深入施工现场，检查、指导、监督乙方的安全工作，纠正违章行为。对乙方人员在施工中的任何不安全行为有权责令其立即停止工作。</w:t>
      </w:r>
    </w:p>
    <w:p w14:paraId="2225805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3.9 甲方应建立健全工程项目的安全生产考核机制，制定考核办法，对乙方进行安全生产考核和奖惩。</w:t>
      </w:r>
    </w:p>
    <w:p w14:paraId="0E8BD5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3.10 甲方有权不定期对乙方参与施工的人员进行安全知识和安全工作规程抽考，对乙方的安全教育培训工作进行检查监督。</w:t>
      </w:r>
    </w:p>
    <w:p w14:paraId="1F358E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3.11 根据甲方规定，在进行工程竣工验收决算时，必须经甲方安全部门会签后，才能支付乙方的工程尾款。</w:t>
      </w:r>
    </w:p>
    <w:p w14:paraId="0993B0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3.12 有关乙方提供的书面材料、各种有效资质副本、证件复印件、考试成绩单等资料，甲方负责保存至工程完工后12个月。</w:t>
      </w:r>
    </w:p>
    <w:p w14:paraId="6C1D49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3.13 项目完成后，甲方负责对乙方在本项目中的安全绩效进行考核并形成评价报告，把评价报告反馈给乙方。</w:t>
      </w:r>
    </w:p>
    <w:p w14:paraId="3A4959F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76" w:name="_Toc79760409"/>
      <w:r>
        <w:rPr>
          <w:rFonts w:hint="default" w:ascii="Times New Roman" w:hAnsi="Times New Roman" w:cs="Times New Roman"/>
          <w:color w:val="000000"/>
          <w:sz w:val="24"/>
          <w:szCs w:val="24"/>
        </w:rPr>
        <w:t>4. 乙方安全工作的权利、义务</w:t>
      </w:r>
      <w:bookmarkEnd w:id="976"/>
    </w:p>
    <w:p w14:paraId="1738A0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 乙方对承包工程施工全过程的安全工作负全面责任，承担包括但不限于由于自身管理不善或因乙方员工过错所造成的人身伤亡、设备和工程质量事故、火灾以及一切责任事故的全部责任，且不应为此增加甲方费用或延迟施工进度。</w:t>
      </w:r>
    </w:p>
    <w:p w14:paraId="03B1B26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4.2 乙方必须认真贯彻执行国家有关安全的方针、政策、法律法规及电力建设安全工作规程、规定，遵守甲方有关安全管理的规章制度，服从甲方及监理的管理、监督和指导，对甲方及监理单位提出的整改意见必须及时整改，实行闭环管理。</w:t>
      </w:r>
    </w:p>
    <w:p w14:paraId="7D8B32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4.3 乙方必须具备下列条件：</w:t>
      </w:r>
    </w:p>
    <w:p w14:paraId="2D9F116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 有胜任承包工程管理的项目领导班子，项目负责人、工程技术人员和工人，安全施工的技术等级必须满足所承接工程的需要。</w:t>
      </w:r>
    </w:p>
    <w:p w14:paraId="1418AF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2) 能准确理解和执行甲方提供的有关安全技术规程制度和施工图纸、质量要求、工艺要求等技术文件，有施工组织设计、安全计划和分项工程安全施工措施。</w:t>
      </w:r>
    </w:p>
    <w:p w14:paraId="500349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 施工机械、工器具及安全防护设施、安全用具等必须满足施工需要及安全需要。</w:t>
      </w:r>
    </w:p>
    <w:p w14:paraId="2F20E10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 乙方应按照甲方的要求配置安全生产管理机构和安全管理人员。</w:t>
      </w:r>
    </w:p>
    <w:p w14:paraId="3A7F22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4.4 乙方应定期召开安全会议，并向甲方通报会议、文件等内容。</w:t>
      </w:r>
    </w:p>
    <w:p w14:paraId="1E3C00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4.5 在开工前，乙方必须按照安全管理的要求，向监理单位和甲方提交项目开工报告、安全计划书，安全计划书必须经监理单位和甲方审查合格后，方可付诸实施。</w:t>
      </w:r>
    </w:p>
    <w:p w14:paraId="494C0B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4.6 施工现场的安全工作由乙方负责，发生人身、设备等事故，应立即用电话等方式报甲方和监理单位，严禁弄虚作假、隐瞒不报。报告流程如下：</w:t>
      </w:r>
    </w:p>
    <w:p w14:paraId="31C70C7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 乙方在施工过程中发生电网和设备事故或危及生产运行的不安全情况时，应立即报告甲方和监理单位，并积极配合调查。</w:t>
      </w:r>
    </w:p>
    <w:p w14:paraId="6EABA3C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2) 乙方人员在施工中发生人身伤亡事故，必须立即报告甲方和监理，当地政府安全监督部门、公安部门、工会协调处理，并由乙方归口统计上报。</w:t>
      </w:r>
    </w:p>
    <w:p w14:paraId="3C4BC7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 在施工过程中，因乙方过错造成甲方的人身伤害、设备损坏及火灾等事故，由乙方承担全部责任，并负责赔偿甲方的全部经济损失。</w:t>
      </w:r>
    </w:p>
    <w:p w14:paraId="51D5DB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4.7 乙方在工作中应主动接受甲方的安全检查和监督。因乙方的责任造成设备停运、火灾及人身伤害等不安全事件，必须接受甲方的考核。对情节严重的，甲方有权终止该工程项目合同，法律后果由乙方承担。</w:t>
      </w:r>
    </w:p>
    <w:p w14:paraId="7A6933C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4.8 乙方所有进入施工现场的人员都必须头戴标有本单位标记的安全帽、身穿本单位的统一工作服装、胸前佩戴上岗证或参观证，无证者、未戴安全帽者、穿戴不规范者不允许进入施工现场。</w:t>
      </w:r>
    </w:p>
    <w:p w14:paraId="2FC628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4.9 开工前，乙方应组织人员对施工区域、作业环境及使用甲方提供的设施设备、工器具等进行检查，确认符合安全要求。在施工中乙方应定期组织好现场的安全检查，及时发现隐患并进行消除，对于单方面无法消除的重大隐患应及时通报甲方。</w:t>
      </w:r>
    </w:p>
    <w:p w14:paraId="15F39E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4.10 乙方必须及时足额提供安全文明施工所需的资金，满足项目实施各阶段安全管理的要求。在施工现场必须设置安全文明施工责任区，设置标有施工项目名称、施工单位、项目负责人与安全负责人的标示牌。</w:t>
      </w:r>
    </w:p>
    <w:p w14:paraId="3CD02F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4.11 加强主要区域（开挖区和施工区）的安全管理。主要区域要实行封闭式管理，必须设有围栏只允许留一个进出口。作业前，工作负责人负责现场安全措施的落实，各种安全设施和标志不得低于甲方《安全设施标志规范》的要求，根据施工进度及时设置，不留任何死角、漏洞。</w:t>
      </w:r>
    </w:p>
    <w:p w14:paraId="73C499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4.12 乙方应在施工范围装设临时围栏或警告标志，不得超越指定的施工范围进行施工，禁止无关人员进入施工现场。未经甲方同意，乙方不得擅自使用与施工无关的甲方设施设备；不得擅自拆除、变更甲方防护设施及标志。</w:t>
      </w:r>
    </w:p>
    <w:p w14:paraId="7972B7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4.13 乙方施工过程中需使用电、汽、气、水源，应事先与甲方取得联系，不得私拉乱接。</w:t>
      </w:r>
    </w:p>
    <w:p w14:paraId="2E22F5C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4.14 乙方需要进入另一个施工单位的责任区内施工，必须服从责任区单位的管理，并履行互保协议等相关手续。</w:t>
      </w:r>
    </w:p>
    <w:p w14:paraId="187D770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4.15 乙方在工作过程中不得随意更换工作人员，确需更换工作人员的须征得甲方同意，并按本协议之约定履行安全教育、考试手续。</w:t>
      </w:r>
    </w:p>
    <w:p w14:paraId="1FFF90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4.16 乙方必须遵守国家和地方关于生产安全、劳动用工、劳动保护法律法规及规章制度，保证其用工的合法性。不得雇佣童工、未成年工和老弱病残人员，所有人员入场前必须到卫生部门办理健康证（或进行体格检查，确保身体健康），复印件报甲方安全部门审查备案。</w:t>
      </w:r>
    </w:p>
    <w:p w14:paraId="2D80D5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4.17 乙方必须按照国家规定为从业人员办理工伤保险、意外伤害保险等相关保险，为员工配备合格的劳动防护用品、安全用品、用具。涉及定期试验的工器具、绝缘用具、安全防护用品，都应出具有检测、试验资质部门核发的检验报告。</w:t>
      </w:r>
    </w:p>
    <w:p w14:paraId="7EA7CC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4.18 乙方应按照法律法规、安全体系和安全计划的要求做好环境保护工作，对有毒有害的废弃物进行妥善处置，实施职业病防治措施。</w:t>
      </w:r>
    </w:p>
    <w:p w14:paraId="47C739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4.19 乙方应识别作业过程中的危险有害因素，制订相应的应急救援计划，并组织人员开展培训、应急演习，保证应急救援计划的有效性。</w:t>
      </w:r>
    </w:p>
    <w:p w14:paraId="5B545AF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4.20 乙方所属人员必须通过乙方安全部门的安全教育培训考试，办理上岗证时需向甲方提供员工名册，注明所有人员的年龄、文化程度、身体健康状况、考试成绩等内容。</w:t>
      </w:r>
    </w:p>
    <w:p w14:paraId="76E0D1F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4.21 乙方不得将工程进行转包或擅自将工程进行分包。</w:t>
      </w:r>
    </w:p>
    <w:p w14:paraId="5D0A1B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77" w:name="_Toc79760410"/>
      <w:r>
        <w:rPr>
          <w:rFonts w:hint="default" w:ascii="Times New Roman" w:hAnsi="Times New Roman" w:cs="Times New Roman"/>
          <w:color w:val="000000"/>
          <w:sz w:val="24"/>
          <w:szCs w:val="24"/>
        </w:rPr>
        <w:t>5. 违约责任</w:t>
      </w:r>
      <w:bookmarkEnd w:id="977"/>
    </w:p>
    <w:p w14:paraId="18B678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5.1 由于甲方或乙方过错造成对方或第三方的人身伤害、设备损坏等事故，由责任方承担相应责任，并赔偿对方或第三方因此造成的全部经济损失。</w:t>
      </w:r>
    </w:p>
    <w:p w14:paraId="5DBAEFB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5.2 由于乙方自身原因发生人身死亡事故，或者发生人身或设备事故且整改不到位的，或者承包单位年度考核不合格时，应立即无条件终止合同，清退承包单位，并将承包单位（乙方）列入黑名单，同时在甲方系统内进行通报。</w:t>
      </w:r>
    </w:p>
    <w:p w14:paraId="687F669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5.3 不可抗力造成的事故、损失，由受损方自行组织处理并承担相应的损失。</w:t>
      </w:r>
    </w:p>
    <w:p w14:paraId="50E6209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5.4 凡在施工中由乙方原因发生不安全事故时，经事故调查组认定责任由乙方负责的，造成的全部经济损失由乙方自行承担。若造成甲方损失，损失的费用仍由乙方承担，同时乙方还应承担其他相关责任。</w:t>
      </w:r>
    </w:p>
    <w:p w14:paraId="5CA576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5.5 发生由于乙方责任造成甲方机械设备损坏、火灾、交通、环境污染和垮（坍）塌事故，给甲方造成的经济损失从乙方的工程款中扣除，并以书面形式通知乙方。</w:t>
      </w:r>
    </w:p>
    <w:p w14:paraId="3637DF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5.6 对乙方人员在工作过程中的违章、违规行为进行处罚的，罚款部分从乙方的工程款中扣除，并以书面形式通知乙方。</w:t>
      </w:r>
    </w:p>
    <w:p w14:paraId="3A9638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5.7 合同履行中，发现乙方提供的有关资质材料无效，甲方有权解除合同，并由乙方承担由此造成的一切损失，处罚从工程款中扣除。</w:t>
      </w:r>
    </w:p>
    <w:p w14:paraId="18E411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5.8 其它违约行为按国家、电力行业有关安全生产的规定执行。</w:t>
      </w:r>
    </w:p>
    <w:p w14:paraId="5F3971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78" w:name="_Toc79760411"/>
      <w:r>
        <w:rPr>
          <w:rFonts w:hint="default" w:ascii="Times New Roman" w:hAnsi="Times New Roman" w:cs="Times New Roman"/>
          <w:color w:val="000000"/>
          <w:sz w:val="24"/>
          <w:szCs w:val="24"/>
        </w:rPr>
        <w:t>6 事故报告、调查、统计的规定</w:t>
      </w:r>
      <w:bookmarkEnd w:id="978"/>
    </w:p>
    <w:p w14:paraId="70819C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6.1 对在施工过程中发生的人身伤害、生产设备损坏、火灾等事故应根据国务院第493号令《生产安全事故报告和调查处理条例》等相关规定进行调查，严格按照“四不放过”的原则处理。</w:t>
      </w:r>
    </w:p>
    <w:p w14:paraId="11BB22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6.2 发生事故时，乙方应立即采取措施控制事故，并立即报告甲方，甲方有责任快速开展事故抢险。乙方对隐瞒、拖延报告事故负责。</w:t>
      </w:r>
    </w:p>
    <w:p w14:paraId="7CC544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6.3 根据事故调查组的分析结论和责任认定，由负主要责任的一方负责统计、填写事故报告，处理善后事宜。</w:t>
      </w:r>
    </w:p>
    <w:p w14:paraId="6C5563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6.4 凡乙方负主要责任造成人身伤害和设备损坏、交通、火灾等事故，乙方负责承担法律及经济责任，善后处理由受害方单位负责。</w:t>
      </w:r>
    </w:p>
    <w:p w14:paraId="661761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6.5 凡甲方责任造成乙方人身伤害和设备损坏、交通、火灾等事故，甲方负责承担法律及经济责任，善后处理由乙方负责。</w:t>
      </w:r>
    </w:p>
    <w:p w14:paraId="15FCFD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979" w:name="_Toc79760412"/>
      <w:r>
        <w:rPr>
          <w:rFonts w:hint="default" w:ascii="Times New Roman" w:hAnsi="Times New Roman" w:cs="Times New Roman"/>
          <w:color w:val="000000"/>
          <w:sz w:val="24"/>
          <w:szCs w:val="24"/>
        </w:rPr>
        <w:t>7. 其它</w:t>
      </w:r>
      <w:bookmarkEnd w:id="979"/>
    </w:p>
    <w:p w14:paraId="407F0E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7.1发包人有权对承包人合同履行期间的安全生产落实情况进行定期监督考核，并将考核结果在全工地通报。</w:t>
      </w:r>
    </w:p>
    <w:p w14:paraId="28F150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7.2合同履行期间，承包人在发包人组织的安全生产考核中，考核一次不达标的，发包人有权约谈承包人项目经理；连续两次考核不合格的，发包人有权清退承包人项目经理甚至终止工程合同，并由承包人承担由此造成的全部损失。</w:t>
      </w:r>
    </w:p>
    <w:p w14:paraId="5DB135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7.3承包人对员工安全培训不到位，未对新入场人员进行岗前培训、岗前培训或再培训不达标的，应按500元/人次向发包人支付违约金。</w:t>
      </w:r>
    </w:p>
    <w:p w14:paraId="41D445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7.4承包人未落实安全生产法律法规标准和合同约定的有关规定，造成重大安全生产隐患或同类安全生产隐患重复发生的，应按1~2万元/次向发包人支付违约金。</w:t>
      </w:r>
    </w:p>
    <w:p w14:paraId="11A4E4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7.5承包人不按期整改且无正当理由或拒不整改发包人指出的安全隐患的，按2~5万元/次向发包人支付违约金，同时，发包人有权安排第三方消除安全隐患，所需费用由承包人承担。</w:t>
      </w:r>
    </w:p>
    <w:p w14:paraId="53B068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7.6承包人发生违章情况的，将按照发包人相关规定进行通报、处罚。</w:t>
      </w:r>
    </w:p>
    <w:p w14:paraId="109B69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以下六项资料作为本协议附件：</w:t>
      </w:r>
    </w:p>
    <w:p w14:paraId="0DDBFC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1) 乙方的相关资质证明材料（企业的营业执照、资质证书、安全生产许可证、近三年安全施工记录等）；</w:t>
      </w:r>
    </w:p>
    <w:p w14:paraId="686C202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2) 乙方项目经理、安全人员的岗位资格证书；</w:t>
      </w:r>
    </w:p>
    <w:p w14:paraId="6581BB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 乙方特种作业人员操作资格证书；</w:t>
      </w:r>
    </w:p>
    <w:p w14:paraId="726A6B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4) 乙方所承包工程项目的安全计划；</w:t>
      </w:r>
    </w:p>
    <w:p w14:paraId="51EBB8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5) 乙方大型独立项目的施工组织设计；</w:t>
      </w:r>
    </w:p>
    <w:p w14:paraId="7A8DCC2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6) 乙方人员的花名册（注明所有人员的年龄、文化程度、身体健康状况、考试成绩等）；</w:t>
      </w:r>
    </w:p>
    <w:p w14:paraId="27A975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7) 甲方有关安全管理体系方面的管理程序、标准和规定。</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53"/>
        <w:gridCol w:w="4269"/>
      </w:tblGrid>
      <w:tr w14:paraId="32DD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5" w:hRule="atLeast"/>
          <w:tblCellSpacing w:w="0" w:type="dxa"/>
          <w:jc w:val="center"/>
        </w:trPr>
        <w:tc>
          <w:tcPr>
            <w:tcW w:w="4434" w:type="dxa"/>
            <w:tcBorders>
              <w:top w:val="nil"/>
              <w:left w:val="nil"/>
              <w:bottom w:val="nil"/>
              <w:right w:val="nil"/>
            </w:tcBorders>
            <w:shd w:val="clear"/>
            <w:vAlign w:val="center"/>
          </w:tcPr>
          <w:p w14:paraId="09A9375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 xml:space="preserve">发包人：             （盖章）     </w:t>
            </w:r>
          </w:p>
        </w:tc>
        <w:tc>
          <w:tcPr>
            <w:tcW w:w="4467" w:type="dxa"/>
            <w:tcBorders>
              <w:top w:val="nil"/>
              <w:left w:val="nil"/>
              <w:bottom w:val="nil"/>
              <w:right w:val="nil"/>
            </w:tcBorders>
            <w:shd w:val="clear"/>
            <w:vAlign w:val="center"/>
          </w:tcPr>
          <w:p w14:paraId="723F5E0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承包人：           （盖章）</w:t>
            </w:r>
          </w:p>
        </w:tc>
      </w:tr>
      <w:tr w14:paraId="38F5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blCellSpacing w:w="0" w:type="dxa"/>
          <w:jc w:val="center"/>
        </w:trPr>
        <w:tc>
          <w:tcPr>
            <w:tcW w:w="4434" w:type="dxa"/>
            <w:tcBorders>
              <w:top w:val="nil"/>
              <w:left w:val="nil"/>
              <w:bottom w:val="nil"/>
              <w:right w:val="nil"/>
            </w:tcBorders>
            <w:shd w:val="clear"/>
            <w:vAlign w:val="center"/>
          </w:tcPr>
          <w:p w14:paraId="052F8D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法定代表人/授权代表（签字）：</w:t>
            </w:r>
          </w:p>
        </w:tc>
        <w:tc>
          <w:tcPr>
            <w:tcW w:w="4467" w:type="dxa"/>
            <w:tcBorders>
              <w:top w:val="nil"/>
              <w:left w:val="nil"/>
              <w:bottom w:val="nil"/>
              <w:right w:val="nil"/>
            </w:tcBorders>
            <w:shd w:val="clear"/>
            <w:vAlign w:val="center"/>
          </w:tcPr>
          <w:p w14:paraId="3458D4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法定代表人/授权代表（签字）：</w:t>
            </w:r>
          </w:p>
        </w:tc>
      </w:tr>
      <w:tr w14:paraId="66B3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6" w:hRule="atLeast"/>
          <w:tblCellSpacing w:w="0" w:type="dxa"/>
          <w:jc w:val="center"/>
        </w:trPr>
        <w:tc>
          <w:tcPr>
            <w:tcW w:w="4434" w:type="dxa"/>
            <w:tcBorders>
              <w:top w:val="nil"/>
              <w:left w:val="nil"/>
              <w:bottom w:val="nil"/>
              <w:right w:val="nil"/>
            </w:tcBorders>
            <w:shd w:val="clear"/>
            <w:vAlign w:val="center"/>
          </w:tcPr>
          <w:p w14:paraId="487C738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签订日期：     年   月   日</w:t>
            </w:r>
          </w:p>
        </w:tc>
        <w:tc>
          <w:tcPr>
            <w:tcW w:w="4467" w:type="dxa"/>
            <w:tcBorders>
              <w:top w:val="nil"/>
              <w:left w:val="nil"/>
              <w:bottom w:val="nil"/>
              <w:right w:val="nil"/>
            </w:tcBorders>
            <w:shd w:val="clear"/>
            <w:vAlign w:val="center"/>
          </w:tcPr>
          <w:p w14:paraId="463361F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签订日期：     年   月   日</w:t>
            </w:r>
          </w:p>
        </w:tc>
      </w:tr>
      <w:tr w14:paraId="4FE1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blCellSpacing w:w="0" w:type="dxa"/>
          <w:jc w:val="center"/>
        </w:trPr>
        <w:tc>
          <w:tcPr>
            <w:tcW w:w="4434" w:type="dxa"/>
            <w:tcBorders>
              <w:top w:val="nil"/>
              <w:left w:val="nil"/>
              <w:bottom w:val="nil"/>
              <w:right w:val="nil"/>
            </w:tcBorders>
            <w:shd w:val="clear"/>
            <w:vAlign w:val="center"/>
          </w:tcPr>
          <w:p w14:paraId="1485FF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地址：</w:t>
            </w:r>
          </w:p>
        </w:tc>
        <w:tc>
          <w:tcPr>
            <w:tcW w:w="4467" w:type="dxa"/>
            <w:tcBorders>
              <w:top w:val="nil"/>
              <w:left w:val="nil"/>
              <w:bottom w:val="nil"/>
              <w:right w:val="nil"/>
            </w:tcBorders>
            <w:shd w:val="clear"/>
            <w:vAlign w:val="center"/>
          </w:tcPr>
          <w:p w14:paraId="544729A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地址：</w:t>
            </w:r>
          </w:p>
        </w:tc>
      </w:tr>
      <w:tr w14:paraId="4F0C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blCellSpacing w:w="0" w:type="dxa"/>
          <w:jc w:val="center"/>
        </w:trPr>
        <w:tc>
          <w:tcPr>
            <w:tcW w:w="4434" w:type="dxa"/>
            <w:tcBorders>
              <w:top w:val="nil"/>
              <w:left w:val="nil"/>
              <w:bottom w:val="nil"/>
              <w:right w:val="nil"/>
            </w:tcBorders>
            <w:shd w:val="clear"/>
            <w:vAlign w:val="center"/>
          </w:tcPr>
          <w:p w14:paraId="654B4E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 xml:space="preserve">邮编： </w:t>
            </w:r>
          </w:p>
        </w:tc>
        <w:tc>
          <w:tcPr>
            <w:tcW w:w="4467" w:type="dxa"/>
            <w:tcBorders>
              <w:top w:val="nil"/>
              <w:left w:val="nil"/>
              <w:bottom w:val="nil"/>
              <w:right w:val="nil"/>
            </w:tcBorders>
            <w:shd w:val="clear"/>
            <w:vAlign w:val="center"/>
          </w:tcPr>
          <w:p w14:paraId="60132B6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邮编：</w:t>
            </w:r>
          </w:p>
        </w:tc>
      </w:tr>
      <w:tr w14:paraId="1DDD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3183F0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联系人：</w:t>
            </w:r>
          </w:p>
        </w:tc>
        <w:tc>
          <w:tcPr>
            <w:tcW w:w="4467" w:type="dxa"/>
            <w:tcBorders>
              <w:top w:val="nil"/>
              <w:left w:val="nil"/>
              <w:bottom w:val="nil"/>
              <w:right w:val="nil"/>
            </w:tcBorders>
            <w:shd w:val="clear"/>
            <w:vAlign w:val="center"/>
          </w:tcPr>
          <w:p w14:paraId="230FD1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联系人：</w:t>
            </w:r>
          </w:p>
        </w:tc>
      </w:tr>
      <w:tr w14:paraId="2B5B9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0E99E4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电话：</w:t>
            </w:r>
          </w:p>
        </w:tc>
        <w:tc>
          <w:tcPr>
            <w:tcW w:w="4467" w:type="dxa"/>
            <w:tcBorders>
              <w:top w:val="nil"/>
              <w:left w:val="nil"/>
              <w:bottom w:val="nil"/>
              <w:right w:val="nil"/>
            </w:tcBorders>
            <w:shd w:val="clear"/>
            <w:vAlign w:val="center"/>
          </w:tcPr>
          <w:p w14:paraId="4A6391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电话：</w:t>
            </w:r>
          </w:p>
        </w:tc>
      </w:tr>
      <w:tr w14:paraId="443B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278BFD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邮箱：</w:t>
            </w:r>
          </w:p>
        </w:tc>
        <w:tc>
          <w:tcPr>
            <w:tcW w:w="4467" w:type="dxa"/>
            <w:tcBorders>
              <w:top w:val="nil"/>
              <w:left w:val="nil"/>
              <w:bottom w:val="nil"/>
              <w:right w:val="nil"/>
            </w:tcBorders>
            <w:shd w:val="clear"/>
            <w:vAlign w:val="center"/>
          </w:tcPr>
          <w:p w14:paraId="46038A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邮箱：</w:t>
            </w:r>
          </w:p>
        </w:tc>
      </w:tr>
      <w:tr w14:paraId="2116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blCellSpacing w:w="0" w:type="dxa"/>
          <w:jc w:val="center"/>
        </w:trPr>
        <w:tc>
          <w:tcPr>
            <w:tcW w:w="4434" w:type="dxa"/>
            <w:tcBorders>
              <w:top w:val="nil"/>
              <w:left w:val="nil"/>
              <w:bottom w:val="nil"/>
              <w:right w:val="nil"/>
            </w:tcBorders>
            <w:shd w:val="clear"/>
            <w:vAlign w:val="center"/>
          </w:tcPr>
          <w:p w14:paraId="001367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开户银行：</w:t>
            </w:r>
          </w:p>
        </w:tc>
        <w:tc>
          <w:tcPr>
            <w:tcW w:w="4467" w:type="dxa"/>
            <w:tcBorders>
              <w:top w:val="nil"/>
              <w:left w:val="nil"/>
              <w:bottom w:val="nil"/>
              <w:right w:val="nil"/>
            </w:tcBorders>
            <w:shd w:val="clear"/>
            <w:vAlign w:val="center"/>
          </w:tcPr>
          <w:p w14:paraId="255437C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开户银行：</w:t>
            </w:r>
          </w:p>
        </w:tc>
      </w:tr>
      <w:tr w14:paraId="5BEE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blCellSpacing w:w="0" w:type="dxa"/>
          <w:jc w:val="center"/>
        </w:trPr>
        <w:tc>
          <w:tcPr>
            <w:tcW w:w="4434" w:type="dxa"/>
            <w:tcBorders>
              <w:top w:val="nil"/>
              <w:left w:val="nil"/>
              <w:bottom w:val="nil"/>
              <w:right w:val="nil"/>
            </w:tcBorders>
            <w:shd w:val="clear"/>
            <w:vAlign w:val="center"/>
          </w:tcPr>
          <w:p w14:paraId="58C9CC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账号：</w:t>
            </w:r>
          </w:p>
        </w:tc>
        <w:tc>
          <w:tcPr>
            <w:tcW w:w="4467" w:type="dxa"/>
            <w:tcBorders>
              <w:top w:val="nil"/>
              <w:left w:val="nil"/>
              <w:bottom w:val="nil"/>
              <w:right w:val="nil"/>
            </w:tcBorders>
            <w:shd w:val="clear"/>
            <w:vAlign w:val="center"/>
          </w:tcPr>
          <w:p w14:paraId="238F51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账号：</w:t>
            </w:r>
          </w:p>
        </w:tc>
      </w:tr>
      <w:tr w14:paraId="79F9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blCellSpacing w:w="0" w:type="dxa"/>
          <w:jc w:val="center"/>
        </w:trPr>
        <w:tc>
          <w:tcPr>
            <w:tcW w:w="4434" w:type="dxa"/>
            <w:tcBorders>
              <w:top w:val="nil"/>
              <w:left w:val="nil"/>
              <w:bottom w:val="nil"/>
              <w:right w:val="nil"/>
            </w:tcBorders>
            <w:shd w:val="clear"/>
            <w:vAlign w:val="center"/>
          </w:tcPr>
          <w:p w14:paraId="69ACF2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税号：</w:t>
            </w:r>
          </w:p>
        </w:tc>
        <w:tc>
          <w:tcPr>
            <w:tcW w:w="4467" w:type="dxa"/>
            <w:tcBorders>
              <w:top w:val="nil"/>
              <w:left w:val="nil"/>
              <w:bottom w:val="nil"/>
              <w:right w:val="nil"/>
            </w:tcBorders>
            <w:shd w:val="clear"/>
            <w:vAlign w:val="center"/>
          </w:tcPr>
          <w:p w14:paraId="500C92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税号：</w:t>
            </w:r>
          </w:p>
        </w:tc>
      </w:tr>
    </w:tbl>
    <w:p w14:paraId="47EBA52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340B9A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7689394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78C495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eastAsia" w:ascii="黑体" w:hAnsi="宋体" w:eastAsia="黑体" w:cs="黑体"/>
          <w:color w:val="000000"/>
          <w:sz w:val="24"/>
          <w:szCs w:val="24"/>
        </w:rPr>
        <w:br w:type="page"/>
      </w:r>
      <w:r>
        <w:rPr>
          <w:rFonts w:hint="eastAsia" w:ascii="黑体" w:hAnsi="宋体" w:eastAsia="黑体" w:cs="黑体"/>
          <w:color w:val="000000"/>
          <w:sz w:val="24"/>
          <w:szCs w:val="24"/>
        </w:rPr>
        <w:t> </w:t>
      </w:r>
      <w:bookmarkStart w:id="980" w:name="_Toc24914"/>
      <w:bookmarkStart w:id="981" w:name="_Toc6668"/>
      <w:bookmarkStart w:id="982" w:name="_Toc6699"/>
      <w:bookmarkStart w:id="983" w:name="_Toc25594"/>
      <w:bookmarkStart w:id="984" w:name="_Toc67789031"/>
      <w:bookmarkStart w:id="985" w:name="_Toc2548"/>
      <w:bookmarkStart w:id="986" w:name="_Toc5799"/>
      <w:r>
        <w:rPr>
          <w:rFonts w:hint="eastAsia" w:ascii="黑体" w:hAnsi="宋体" w:eastAsia="黑体" w:cs="黑体"/>
          <w:color w:val="000000"/>
          <w:sz w:val="28"/>
          <w:szCs w:val="28"/>
        </w:rPr>
        <w:t>附件五  工程质量保修书</w:t>
      </w:r>
      <w:bookmarkEnd w:id="980"/>
      <w:bookmarkEnd w:id="981"/>
      <w:bookmarkEnd w:id="982"/>
      <w:bookmarkEnd w:id="983"/>
      <w:bookmarkEnd w:id="984"/>
      <w:bookmarkEnd w:id="985"/>
      <w:bookmarkEnd w:id="986"/>
    </w:p>
    <w:p w14:paraId="64C431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bookmarkStart w:id="987" w:name="_Toc30075"/>
      <w:r>
        <w:rPr>
          <w:rFonts w:hint="default" w:ascii="Calibri" w:hAnsi="Calibri" w:cs="Calibri"/>
          <w:color w:val="000000"/>
          <w:sz w:val="28"/>
          <w:szCs w:val="28"/>
        </w:rPr>
        <w:t>工程质量保修书</w:t>
      </w:r>
      <w:bookmarkEnd w:id="987"/>
    </w:p>
    <w:p w14:paraId="4ACAE8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8" w:beforeAutospacing="0" w:after="0" w:afterAutospacing="0" w:line="360" w:lineRule="auto"/>
        <w:ind w:left="0" w:firstLine="480"/>
      </w:pPr>
      <w:r>
        <w:rPr>
          <w:rFonts w:hint="default" w:ascii="Calibri" w:hAnsi="Calibri" w:cs="Calibri"/>
          <w:color w:val="000000"/>
          <w:sz w:val="24"/>
          <w:szCs w:val="24"/>
        </w:rPr>
        <w:t>发包人：</w:t>
      </w:r>
      <w:r>
        <w:rPr>
          <w:rFonts w:hint="default" w:ascii="Calibri" w:hAnsi="Calibri" w:cs="Calibri"/>
          <w:color w:val="000000"/>
          <w:sz w:val="24"/>
          <w:szCs w:val="24"/>
          <w:u w:val="single"/>
        </w:rPr>
        <w:tab/>
      </w:r>
    </w:p>
    <w:p w14:paraId="191426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w:t>
      </w:r>
      <w:r>
        <w:rPr>
          <w:rFonts w:hint="default" w:ascii="Calibri" w:hAnsi="Calibri" w:cs="Calibri"/>
          <w:color w:val="000000"/>
          <w:sz w:val="24"/>
          <w:szCs w:val="24"/>
          <w:u w:val="single"/>
        </w:rPr>
        <w:tab/>
      </w:r>
    </w:p>
    <w:p w14:paraId="6F8095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发包人、承包人根据《中华人民共和国建筑法》《建设工程质量管理条例》等法律法规，经协商一致，对</w:t>
      </w:r>
      <w:r>
        <w:rPr>
          <w:rFonts w:hint="default" w:ascii="Calibri" w:hAnsi="Calibri" w:cs="Calibri"/>
          <w:color w:val="000000"/>
          <w:sz w:val="24"/>
          <w:szCs w:val="24"/>
          <w:u w:val="single"/>
        </w:rPr>
        <w:t>  【  】</w:t>
      </w:r>
      <w:r>
        <w:rPr>
          <w:rFonts w:hint="default" w:ascii="Calibri" w:hAnsi="Calibri" w:cs="Calibri"/>
          <w:color w:val="000000"/>
          <w:sz w:val="24"/>
          <w:szCs w:val="24"/>
        </w:rPr>
        <w:t>（项目名称）签订工程质量保修书。</w:t>
      </w:r>
    </w:p>
    <w:p w14:paraId="697F22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1．工程质量保修范围和内容</w:t>
      </w:r>
    </w:p>
    <w:p w14:paraId="79451C6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承包人在质量保修期内，按照有关法律法规、规章规定和双方约定，承担本工程质量保修责任。</w:t>
      </w:r>
    </w:p>
    <w:p w14:paraId="118DB2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质量保修内容，双方约定如下：</w:t>
      </w:r>
    </w:p>
    <w:p w14:paraId="4A07410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u w:val="single"/>
        </w:rPr>
        <w:t>【】EPC总承包合同</w:t>
      </w:r>
      <w:r>
        <w:rPr>
          <w:rFonts w:hint="default" w:ascii="Calibri" w:hAnsi="Calibri" w:cs="Calibri"/>
          <w:color w:val="000000"/>
          <w:sz w:val="24"/>
          <w:szCs w:val="24"/>
        </w:rPr>
        <w:t>（合同编号：</w:t>
      </w:r>
      <w:r>
        <w:rPr>
          <w:rFonts w:hint="default" w:ascii="Calibri" w:hAnsi="Calibri" w:cs="Calibri"/>
          <w:color w:val="000000"/>
          <w:sz w:val="24"/>
          <w:szCs w:val="24"/>
          <w:u w:val="single"/>
        </w:rPr>
        <w:t>            </w:t>
      </w:r>
      <w:r>
        <w:rPr>
          <w:rFonts w:hint="default" w:ascii="Calibri" w:hAnsi="Calibri" w:cs="Calibri"/>
          <w:color w:val="000000"/>
          <w:sz w:val="24"/>
          <w:szCs w:val="24"/>
        </w:rPr>
        <w:t xml:space="preserve">）（以下简称“原合同”）中约定的承包人全部工作内容。 </w:t>
      </w:r>
    </w:p>
    <w:p w14:paraId="5E4D1FD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2．质量保修期</w:t>
      </w:r>
    </w:p>
    <w:p w14:paraId="625F46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Times New Roman" w:hAnsi="Times New Roman" w:cs="Times New Roman"/>
          <w:color w:val="000000"/>
          <w:sz w:val="24"/>
          <w:szCs w:val="24"/>
        </w:rPr>
        <w:t>根据《建设工程质量管理条例》及有关规定，工程的质量保修期如下：</w:t>
      </w:r>
    </w:p>
    <w:p w14:paraId="1B5D619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Times New Roman" w:hAnsi="Times New Roman" w:cs="Times New Roman"/>
          <w:color w:val="000000"/>
          <w:sz w:val="24"/>
          <w:szCs w:val="24"/>
        </w:rPr>
        <w:t>质量保修期自工程接收证书签发之日起计算。</w:t>
      </w:r>
    </w:p>
    <w:p w14:paraId="2D030D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Times New Roman" w:hAnsi="Times New Roman" w:cs="Times New Roman"/>
          <w:color w:val="000000"/>
          <w:sz w:val="24"/>
          <w:szCs w:val="24"/>
        </w:rPr>
        <w:t>缺陷责任期为工程接收证书签发之日起【  】个月。</w:t>
      </w:r>
    </w:p>
    <w:p w14:paraId="3EADF0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default" w:ascii="Times New Roman" w:hAnsi="Times New Roman" w:cs="Times New Roman"/>
          <w:color w:val="000000"/>
          <w:sz w:val="24"/>
          <w:szCs w:val="24"/>
        </w:rPr>
        <w:t>组件质量保修期为十年，逆变器质量保修期为五年，其他设备质量保修期为两年。</w:t>
      </w:r>
    </w:p>
    <w:p w14:paraId="58053C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pPr>
      <w:r>
        <w:rPr>
          <w:rFonts w:hint="default" w:ascii="Times New Roman" w:hAnsi="Times New Roman" w:cs="Times New Roman"/>
          <w:color w:val="000000"/>
          <w:sz w:val="24"/>
          <w:szCs w:val="24"/>
        </w:rPr>
        <w:t>建筑安装工程质量保修期为从工程接收证书签发之日起【   】年。国家法律法规明确规定质量保修期大于上述约定的，以法律法规规定为准。</w:t>
      </w:r>
    </w:p>
    <w:p w14:paraId="54D02E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3．质量保修责任</w:t>
      </w:r>
    </w:p>
    <w:p w14:paraId="7321FE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741"/>
        </w:tabs>
        <w:spacing w:before="0" w:beforeAutospacing="0" w:after="0" w:afterAutospacing="0" w:line="360" w:lineRule="auto"/>
        <w:ind w:left="0" w:firstLine="480"/>
      </w:pPr>
      <w:r>
        <w:rPr>
          <w:rFonts w:hint="default" w:ascii="Calibri" w:hAnsi="Calibri" w:cs="Calibri"/>
          <w:color w:val="000000"/>
          <w:sz w:val="24"/>
          <w:szCs w:val="24"/>
        </w:rPr>
        <w:t>3.1 属于保修范围、内容的项目，承包人应当在接到保修通知之日起7天内派人保修。承包人不在约定期限内派人保修的，发包人可以委托他人修理。</w:t>
      </w:r>
    </w:p>
    <w:p w14:paraId="11E279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741"/>
        </w:tabs>
        <w:spacing w:before="0" w:beforeAutospacing="0" w:after="0" w:afterAutospacing="0" w:line="360" w:lineRule="auto"/>
        <w:ind w:left="0" w:firstLine="480"/>
      </w:pPr>
      <w:r>
        <w:rPr>
          <w:rFonts w:hint="default" w:ascii="Calibri" w:hAnsi="Calibri" w:cs="Calibri"/>
          <w:color w:val="000000"/>
          <w:sz w:val="24"/>
          <w:szCs w:val="24"/>
        </w:rPr>
        <w:t>3.2 发生紧急抢修事故的，承包人在接到事故通知后，应当立即到达事故现场抢修。</w:t>
      </w:r>
    </w:p>
    <w:p w14:paraId="067AC9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741"/>
        </w:tabs>
        <w:spacing w:before="0" w:beforeAutospacing="0" w:after="0" w:afterAutospacing="0" w:line="360" w:lineRule="auto"/>
        <w:ind w:left="0" w:firstLine="480"/>
      </w:pPr>
      <w:r>
        <w:rPr>
          <w:rFonts w:hint="default" w:ascii="Calibri" w:hAnsi="Calibri" w:cs="Calibri"/>
          <w:color w:val="000000"/>
          <w:sz w:val="24"/>
          <w:szCs w:val="24"/>
        </w:rPr>
        <w:t>3.3 对于涉及结构安全的质量问题，应当按照相关法律法规的规定，立即向当地建设行政主管部门报告，采取安全防范措施；由原设计单位或者具有相应资质等级的设计单位提出保修方案，承包人实施保修。</w:t>
      </w:r>
    </w:p>
    <w:p w14:paraId="4CBAF8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741"/>
        </w:tabs>
        <w:spacing w:before="0" w:beforeAutospacing="0" w:after="0" w:afterAutospacing="0" w:line="360" w:lineRule="auto"/>
        <w:ind w:left="0" w:firstLine="480"/>
      </w:pPr>
      <w:r>
        <w:rPr>
          <w:rFonts w:hint="default" w:ascii="Calibri" w:hAnsi="Calibri" w:cs="Calibri"/>
          <w:color w:val="000000"/>
          <w:sz w:val="24"/>
          <w:szCs w:val="24"/>
        </w:rPr>
        <w:t>3.4 质量保修完成后，由发包人组织验收。</w:t>
      </w:r>
    </w:p>
    <w:p w14:paraId="30A5CBB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4．保修费用</w:t>
      </w:r>
    </w:p>
    <w:p w14:paraId="5C07B9C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 保修费用由造成质量缺陷的责任方承担。</w:t>
      </w:r>
    </w:p>
    <w:p w14:paraId="535699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本工程质量保修书，由施工合同发包人、承包人双方在完工验收前共同签署，作为施工合同附件，其有效期限至保修期满。</w:t>
      </w:r>
    </w:p>
    <w:p w14:paraId="22D5E4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（以下无正文）</w:t>
      </w:r>
    </w:p>
    <w:p w14:paraId="4875FE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78973B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t> </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53"/>
        <w:gridCol w:w="4269"/>
      </w:tblGrid>
      <w:tr w14:paraId="315A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5" w:hRule="atLeast"/>
          <w:tblCellSpacing w:w="0" w:type="dxa"/>
          <w:jc w:val="center"/>
        </w:trPr>
        <w:tc>
          <w:tcPr>
            <w:tcW w:w="4434" w:type="dxa"/>
            <w:tcBorders>
              <w:top w:val="nil"/>
              <w:left w:val="nil"/>
              <w:bottom w:val="nil"/>
              <w:right w:val="nil"/>
            </w:tcBorders>
            <w:shd w:val="clear"/>
            <w:vAlign w:val="center"/>
          </w:tcPr>
          <w:p w14:paraId="042CDB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 xml:space="preserve">发包人：             （盖章）     </w:t>
            </w:r>
          </w:p>
        </w:tc>
        <w:tc>
          <w:tcPr>
            <w:tcW w:w="4467" w:type="dxa"/>
            <w:tcBorders>
              <w:top w:val="nil"/>
              <w:left w:val="nil"/>
              <w:bottom w:val="nil"/>
              <w:right w:val="nil"/>
            </w:tcBorders>
            <w:shd w:val="clear"/>
            <w:vAlign w:val="center"/>
          </w:tcPr>
          <w:p w14:paraId="454C5D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承包人：           （盖章）</w:t>
            </w:r>
          </w:p>
        </w:tc>
      </w:tr>
      <w:tr w14:paraId="7ACC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blCellSpacing w:w="0" w:type="dxa"/>
          <w:jc w:val="center"/>
        </w:trPr>
        <w:tc>
          <w:tcPr>
            <w:tcW w:w="4434" w:type="dxa"/>
            <w:tcBorders>
              <w:top w:val="nil"/>
              <w:left w:val="nil"/>
              <w:bottom w:val="nil"/>
              <w:right w:val="nil"/>
            </w:tcBorders>
            <w:shd w:val="clear"/>
            <w:vAlign w:val="center"/>
          </w:tcPr>
          <w:p w14:paraId="019E176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法定代表人/授权代表（签字）：</w:t>
            </w:r>
          </w:p>
        </w:tc>
        <w:tc>
          <w:tcPr>
            <w:tcW w:w="4467" w:type="dxa"/>
            <w:tcBorders>
              <w:top w:val="nil"/>
              <w:left w:val="nil"/>
              <w:bottom w:val="nil"/>
              <w:right w:val="nil"/>
            </w:tcBorders>
            <w:shd w:val="clear"/>
            <w:vAlign w:val="center"/>
          </w:tcPr>
          <w:p w14:paraId="62C647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法定代表人/授权代表（签字）：</w:t>
            </w:r>
          </w:p>
        </w:tc>
      </w:tr>
      <w:tr w14:paraId="405B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6" w:hRule="atLeast"/>
          <w:tblCellSpacing w:w="0" w:type="dxa"/>
          <w:jc w:val="center"/>
        </w:trPr>
        <w:tc>
          <w:tcPr>
            <w:tcW w:w="4434" w:type="dxa"/>
            <w:tcBorders>
              <w:top w:val="nil"/>
              <w:left w:val="nil"/>
              <w:bottom w:val="nil"/>
              <w:right w:val="nil"/>
            </w:tcBorders>
            <w:shd w:val="clear"/>
            <w:vAlign w:val="center"/>
          </w:tcPr>
          <w:p w14:paraId="796C95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签订日期：     年   月   日</w:t>
            </w:r>
          </w:p>
        </w:tc>
        <w:tc>
          <w:tcPr>
            <w:tcW w:w="4467" w:type="dxa"/>
            <w:tcBorders>
              <w:top w:val="nil"/>
              <w:left w:val="nil"/>
              <w:bottom w:val="nil"/>
              <w:right w:val="nil"/>
            </w:tcBorders>
            <w:shd w:val="clear"/>
            <w:vAlign w:val="center"/>
          </w:tcPr>
          <w:p w14:paraId="70D5BF2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签订日期：     年   月   日</w:t>
            </w:r>
          </w:p>
        </w:tc>
      </w:tr>
      <w:tr w14:paraId="24AC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blCellSpacing w:w="0" w:type="dxa"/>
          <w:jc w:val="center"/>
        </w:trPr>
        <w:tc>
          <w:tcPr>
            <w:tcW w:w="4434" w:type="dxa"/>
            <w:tcBorders>
              <w:top w:val="nil"/>
              <w:left w:val="nil"/>
              <w:bottom w:val="nil"/>
              <w:right w:val="nil"/>
            </w:tcBorders>
            <w:shd w:val="clear"/>
            <w:vAlign w:val="center"/>
          </w:tcPr>
          <w:p w14:paraId="38652F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地址：</w:t>
            </w:r>
          </w:p>
        </w:tc>
        <w:tc>
          <w:tcPr>
            <w:tcW w:w="4467" w:type="dxa"/>
            <w:tcBorders>
              <w:top w:val="nil"/>
              <w:left w:val="nil"/>
              <w:bottom w:val="nil"/>
              <w:right w:val="nil"/>
            </w:tcBorders>
            <w:shd w:val="clear"/>
            <w:vAlign w:val="center"/>
          </w:tcPr>
          <w:p w14:paraId="799B11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地址：</w:t>
            </w:r>
          </w:p>
        </w:tc>
      </w:tr>
      <w:tr w14:paraId="02D4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1" w:hRule="atLeast"/>
          <w:tblCellSpacing w:w="0" w:type="dxa"/>
          <w:jc w:val="center"/>
        </w:trPr>
        <w:tc>
          <w:tcPr>
            <w:tcW w:w="4434" w:type="dxa"/>
            <w:tcBorders>
              <w:top w:val="nil"/>
              <w:left w:val="nil"/>
              <w:bottom w:val="nil"/>
              <w:right w:val="nil"/>
            </w:tcBorders>
            <w:shd w:val="clear"/>
            <w:vAlign w:val="center"/>
          </w:tcPr>
          <w:p w14:paraId="299CE8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 xml:space="preserve">邮编： </w:t>
            </w:r>
          </w:p>
        </w:tc>
        <w:tc>
          <w:tcPr>
            <w:tcW w:w="4467" w:type="dxa"/>
            <w:tcBorders>
              <w:top w:val="nil"/>
              <w:left w:val="nil"/>
              <w:bottom w:val="nil"/>
              <w:right w:val="nil"/>
            </w:tcBorders>
            <w:shd w:val="clear"/>
            <w:vAlign w:val="center"/>
          </w:tcPr>
          <w:p w14:paraId="1D4EE8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邮编：</w:t>
            </w:r>
          </w:p>
        </w:tc>
      </w:tr>
      <w:tr w14:paraId="255B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19F028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联系人：</w:t>
            </w:r>
          </w:p>
        </w:tc>
        <w:tc>
          <w:tcPr>
            <w:tcW w:w="4467" w:type="dxa"/>
            <w:tcBorders>
              <w:top w:val="nil"/>
              <w:left w:val="nil"/>
              <w:bottom w:val="nil"/>
              <w:right w:val="nil"/>
            </w:tcBorders>
            <w:shd w:val="clear"/>
            <w:vAlign w:val="center"/>
          </w:tcPr>
          <w:p w14:paraId="7D36BA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联系人：</w:t>
            </w:r>
          </w:p>
        </w:tc>
      </w:tr>
      <w:tr w14:paraId="4A16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4194344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电话：</w:t>
            </w:r>
          </w:p>
        </w:tc>
        <w:tc>
          <w:tcPr>
            <w:tcW w:w="4467" w:type="dxa"/>
            <w:tcBorders>
              <w:top w:val="nil"/>
              <w:left w:val="nil"/>
              <w:bottom w:val="nil"/>
              <w:right w:val="nil"/>
            </w:tcBorders>
            <w:shd w:val="clear"/>
            <w:vAlign w:val="center"/>
          </w:tcPr>
          <w:p w14:paraId="5CB3B1C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电话：</w:t>
            </w:r>
          </w:p>
        </w:tc>
      </w:tr>
      <w:tr w14:paraId="406A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75A0819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邮箱：</w:t>
            </w:r>
          </w:p>
        </w:tc>
        <w:tc>
          <w:tcPr>
            <w:tcW w:w="4467" w:type="dxa"/>
            <w:tcBorders>
              <w:top w:val="nil"/>
              <w:left w:val="nil"/>
              <w:bottom w:val="nil"/>
              <w:right w:val="nil"/>
            </w:tcBorders>
            <w:shd w:val="clear"/>
            <w:vAlign w:val="center"/>
          </w:tcPr>
          <w:p w14:paraId="1E6BCF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邮箱：</w:t>
            </w:r>
          </w:p>
        </w:tc>
      </w:tr>
      <w:tr w14:paraId="13C6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blCellSpacing w:w="0" w:type="dxa"/>
          <w:jc w:val="center"/>
        </w:trPr>
        <w:tc>
          <w:tcPr>
            <w:tcW w:w="4434" w:type="dxa"/>
            <w:tcBorders>
              <w:top w:val="nil"/>
              <w:left w:val="nil"/>
              <w:bottom w:val="nil"/>
              <w:right w:val="nil"/>
            </w:tcBorders>
            <w:shd w:val="clear"/>
            <w:vAlign w:val="center"/>
          </w:tcPr>
          <w:p w14:paraId="1F04AEA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开户银行：</w:t>
            </w:r>
          </w:p>
        </w:tc>
        <w:tc>
          <w:tcPr>
            <w:tcW w:w="4467" w:type="dxa"/>
            <w:tcBorders>
              <w:top w:val="nil"/>
              <w:left w:val="nil"/>
              <w:bottom w:val="nil"/>
              <w:right w:val="nil"/>
            </w:tcBorders>
            <w:shd w:val="clear"/>
            <w:vAlign w:val="center"/>
          </w:tcPr>
          <w:p w14:paraId="12275F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开户银行：</w:t>
            </w:r>
          </w:p>
        </w:tc>
      </w:tr>
      <w:tr w14:paraId="139F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blCellSpacing w:w="0" w:type="dxa"/>
          <w:jc w:val="center"/>
        </w:trPr>
        <w:tc>
          <w:tcPr>
            <w:tcW w:w="4434" w:type="dxa"/>
            <w:tcBorders>
              <w:top w:val="nil"/>
              <w:left w:val="nil"/>
              <w:bottom w:val="nil"/>
              <w:right w:val="nil"/>
            </w:tcBorders>
            <w:shd w:val="clear"/>
            <w:vAlign w:val="center"/>
          </w:tcPr>
          <w:p w14:paraId="7068D4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账号：</w:t>
            </w:r>
          </w:p>
        </w:tc>
        <w:tc>
          <w:tcPr>
            <w:tcW w:w="4467" w:type="dxa"/>
            <w:tcBorders>
              <w:top w:val="nil"/>
              <w:left w:val="nil"/>
              <w:bottom w:val="nil"/>
              <w:right w:val="nil"/>
            </w:tcBorders>
            <w:shd w:val="clear"/>
            <w:vAlign w:val="center"/>
          </w:tcPr>
          <w:p w14:paraId="13974A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账号：</w:t>
            </w:r>
          </w:p>
        </w:tc>
      </w:tr>
      <w:tr w14:paraId="206F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blCellSpacing w:w="0" w:type="dxa"/>
          <w:jc w:val="center"/>
        </w:trPr>
        <w:tc>
          <w:tcPr>
            <w:tcW w:w="4434" w:type="dxa"/>
            <w:tcBorders>
              <w:top w:val="nil"/>
              <w:left w:val="nil"/>
              <w:bottom w:val="nil"/>
              <w:right w:val="nil"/>
            </w:tcBorders>
            <w:shd w:val="clear"/>
            <w:vAlign w:val="center"/>
          </w:tcPr>
          <w:p w14:paraId="465A8B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税号：</w:t>
            </w:r>
          </w:p>
        </w:tc>
        <w:tc>
          <w:tcPr>
            <w:tcW w:w="4467" w:type="dxa"/>
            <w:tcBorders>
              <w:top w:val="nil"/>
              <w:left w:val="nil"/>
              <w:bottom w:val="nil"/>
              <w:right w:val="nil"/>
            </w:tcBorders>
            <w:shd w:val="clear"/>
            <w:vAlign w:val="center"/>
          </w:tcPr>
          <w:p w14:paraId="55AB985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4"/>
                <w:szCs w:val="24"/>
                <w:bdr w:val="none" w:color="auto" w:sz="0" w:space="0"/>
              </w:rPr>
              <w:t>税号：</w:t>
            </w:r>
          </w:p>
        </w:tc>
      </w:tr>
    </w:tbl>
    <w:p w14:paraId="213F5F8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firstLine="400"/>
      </w:pPr>
      <w:r>
        <w:rPr>
          <w:bdr w:val="none" w:color="auto" w:sz="0" w:space="0"/>
        </w:rPr>
        <w:t> </w:t>
      </w:r>
    </w:p>
    <w:p w14:paraId="7B0E9A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bdr w:val="none" w:color="auto" w:sz="0" w:space="0"/>
        </w:rPr>
        <w:t> </w:t>
      </w:r>
    </w:p>
    <w:p w14:paraId="060796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bdr w:val="none" w:color="auto" w:sz="0" w:space="0"/>
        </w:rPr>
        <w:t> </w:t>
      </w:r>
    </w:p>
    <w:p w14:paraId="7A4A55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bdr w:val="none" w:color="auto" w:sz="0" w:space="0"/>
        </w:rPr>
        <w:t> </w:t>
      </w:r>
    </w:p>
    <w:p w14:paraId="4A7D5ED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bdr w:val="none" w:color="auto" w:sz="0" w:space="0"/>
        </w:rPr>
        <w:t> </w:t>
      </w:r>
    </w:p>
    <w:p w14:paraId="3FB1BB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bdr w:val="none" w:color="auto" w:sz="0" w:space="0"/>
        </w:rPr>
        <w:t> </w:t>
      </w:r>
    </w:p>
    <w:p w14:paraId="69FFC0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bdr w:val="none" w:color="auto" w:sz="0" w:space="0"/>
        </w:rPr>
        <w:t> </w:t>
      </w:r>
    </w:p>
    <w:p w14:paraId="215C2E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eastAsia" w:ascii="黑体" w:hAnsi="宋体" w:eastAsia="黑体" w:cs="黑体"/>
          <w:color w:val="000000"/>
          <w:sz w:val="28"/>
          <w:szCs w:val="28"/>
        </w:rPr>
        <w:t>附件六  农民工权益保障承诺书</w:t>
      </w:r>
    </w:p>
    <w:p w14:paraId="6713CB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r>
        <w:rPr>
          <w:rFonts w:hint="default" w:ascii="Calibri" w:hAnsi="Calibri" w:cs="Calibri"/>
          <w:color w:val="000000"/>
          <w:sz w:val="28"/>
          <w:szCs w:val="28"/>
        </w:rPr>
        <w:t>农民工权益保障承诺书</w:t>
      </w:r>
    </w:p>
    <w:p w14:paraId="4BA16D8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致</w:t>
      </w:r>
      <w:r>
        <w:rPr>
          <w:rFonts w:hint="default" w:ascii="Calibri" w:hAnsi="Calibri" w:cs="Calibri"/>
          <w:color w:val="000000"/>
          <w:sz w:val="24"/>
          <w:szCs w:val="24"/>
          <w:u w:val="single"/>
        </w:rPr>
        <w:t xml:space="preserve">        </w:t>
      </w:r>
      <w:r>
        <w:rPr>
          <w:rFonts w:hint="default" w:ascii="Calibri" w:hAnsi="Calibri" w:cs="Calibri"/>
          <w:color w:val="000000"/>
          <w:sz w:val="24"/>
          <w:szCs w:val="24"/>
        </w:rPr>
        <w:t>:</w:t>
      </w:r>
    </w:p>
    <w:p w14:paraId="6B5442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本公司已与贵司签订《      》EPC总承包合同，我司同意在合同履行过程中，向贵司就农民工权益保障工作做如下承诺：</w:t>
      </w:r>
    </w:p>
    <w:p w14:paraId="2B4131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我司承诺按照劳动和社会保障部、住建部颁发的《保障农民工工资支付条例》及工程所在地省、自治区、直辖市各级主管部门制定的相关文件要求，认真贯彻执行，并根据项目所在地政府有关部门制定的“工资保障金”缴纳比例足额缴纳农民工工资保障金，存入当地政府指定的专户。</w:t>
      </w:r>
    </w:p>
    <w:p w14:paraId="1F0C17B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2.我司将成立有专人负责的农民工权益保障专职部门，部门人员由项目经理、预算部经理、财务部经理、农民工权益保障专员组成；项目经理兼任农民工权益保障部门经理。</w:t>
      </w:r>
    </w:p>
    <w:p w14:paraId="5E99DE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我司承诺认真履行职责，做好本公司在贵司承建的施工项目的农民工用工和管理工作，足额支付劳务分包单位的工程款，确保按时足额将农民工工资发放到农民工本人，安排好本公司农民工的生活，做好本公司农民工的安全教育和管理工作，发放劳保和安全用品。</w:t>
      </w:r>
    </w:p>
    <w:p w14:paraId="19E72D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我司承诺将农民工权益保障工作的绩效作为工程款支付依据之一（工程进度款支付除应附确认的形象进度资料之外，同时应附确认的农民工权益保障合格资料），我司在合同履行过程中，将按贵司要求按时如实填报有关农民工权益保障资料。如果我司违反承诺，则同意贵司的进度款分两步支付，先支付上月（期）农民工工资，待我司发放农民工工资完毕并提供相关凭证，再支付进度款的余额。</w:t>
      </w:r>
    </w:p>
    <w:p w14:paraId="5F6D78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5．一旦出现本公司严重拖欠农民工工资，导致农民工因欠薪闹事，同意由贵司直接代为支付农民工工资，并在下期进度款中扣除。</w:t>
      </w:r>
    </w:p>
    <w:p w14:paraId="12353AB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6．一旦出现本公司因农民工权益保障工作不到位，导致重大突发事件，并造成一定影响，本公司承担由此产生的全部责任，并承诺向贵公司偿付违反承诺赔偿金</w:t>
      </w:r>
      <w:r>
        <w:rPr>
          <w:rFonts w:hint="default" w:ascii="Calibri" w:hAnsi="Calibri" w:cs="Calibri"/>
          <w:b/>
          <w:bCs/>
          <w:color w:val="000000"/>
          <w:sz w:val="24"/>
          <w:szCs w:val="24"/>
        </w:rPr>
        <w:t>壹拾万元</w:t>
      </w:r>
      <w:r>
        <w:rPr>
          <w:rFonts w:hint="default" w:ascii="Calibri" w:hAnsi="Calibri" w:cs="Calibri"/>
          <w:color w:val="000000"/>
          <w:sz w:val="24"/>
          <w:szCs w:val="24"/>
        </w:rPr>
        <w:t>整，由贵公司直接从我公司当月工程进度款中扣除违反承诺赔偿金。若当月工程进度款不足作为违反承诺赔偿金的扣除，在次月工程进度款中继续补扣，若次月还不足，则由我方以现金补缴至贵公司。</w:t>
      </w:r>
    </w:p>
    <w:p w14:paraId="20B4410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我司承诺无条件负责处理与农民工、分包单位的一切纠纷，如因承包人与农民工、分包单位的纠纷而对贵司造成影响的，我司立即解决，同时贵司有权延迟合同款的支付直至影响消除，并根据事件影响程度决定是否将我司列入不合格承包商名册。</w:t>
      </w:r>
    </w:p>
    <w:p w14:paraId="66A7537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00"/>
      </w:pPr>
      <w:r>
        <w:rPr>
          <w:rFonts w:hint="default" w:ascii="Calibri" w:hAnsi="Calibri" w:cs="Calibri"/>
          <w:color w:val="000000"/>
          <w:sz w:val="24"/>
          <w:szCs w:val="24"/>
        </w:rPr>
        <w:t>8.我司承诺在同等条件下，优先使用本地劳动力，为带动当地经济社会发展作出积极贡献。</w:t>
      </w:r>
    </w:p>
    <w:p w14:paraId="6103146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p w14:paraId="50DA42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t> </w:t>
      </w:r>
    </w:p>
    <w:p w14:paraId="05477B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480" w:firstLine="2551"/>
      </w:pPr>
      <w:r>
        <w:rPr>
          <w:rFonts w:hint="default" w:ascii="Calibri" w:hAnsi="Calibri" w:cs="Calibri"/>
          <w:color w:val="000000"/>
          <w:sz w:val="24"/>
          <w:szCs w:val="24"/>
        </w:rPr>
        <w:t>承诺人：</w:t>
      </w:r>
      <w:r>
        <w:rPr>
          <w:rFonts w:hint="default" w:ascii="Calibri" w:hAnsi="Calibri" w:cs="Calibri"/>
          <w:color w:val="000000"/>
          <w:sz w:val="24"/>
          <w:szCs w:val="24"/>
          <w:u w:val="single"/>
        </w:rPr>
        <w:t xml:space="preserve">    </w:t>
      </w:r>
      <w:r>
        <w:rPr>
          <w:rFonts w:hint="default" w:ascii="Calibri" w:hAnsi="Calibri" w:cs="Calibri"/>
          <w:color w:val="000000"/>
          <w:sz w:val="24"/>
          <w:szCs w:val="24"/>
        </w:rPr>
        <w:t>（盖单位章）</w:t>
      </w:r>
    </w:p>
    <w:p w14:paraId="3C0EDB1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480" w:firstLine="2551"/>
        <w:jc w:val="center"/>
      </w:pPr>
      <w:r>
        <w:rPr>
          <w:bdr w:val="none" w:color="auto" w:sz="0" w:space="0"/>
        </w:rPr>
        <w:t> </w:t>
      </w:r>
    </w:p>
    <w:p w14:paraId="17EB22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480" w:firstLine="2551"/>
        <w:jc w:val="center"/>
      </w:pPr>
      <w:r>
        <w:t> </w:t>
      </w:r>
    </w:p>
    <w:p w14:paraId="58538C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960" w:firstLine="2551"/>
      </w:pPr>
      <w:r>
        <w:rPr>
          <w:rFonts w:hint="default" w:ascii="Calibri" w:hAnsi="Calibri" w:cs="Calibri"/>
          <w:color w:val="000000"/>
          <w:sz w:val="24"/>
          <w:szCs w:val="24"/>
        </w:rPr>
        <w:t xml:space="preserve">法定代表人或授权代表（签字）：                                   </w:t>
      </w:r>
      <w:r>
        <w:rPr>
          <w:rFonts w:hint="default" w:ascii="Calibri" w:hAnsi="Calibri" w:cs="Calibri"/>
          <w:color w:val="000000"/>
          <w:sz w:val="24"/>
          <w:szCs w:val="24"/>
          <w:u w:val="single"/>
        </w:rPr>
        <w:t xml:space="preserve">                               </w:t>
      </w:r>
    </w:p>
    <w:p w14:paraId="577B54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960" w:firstLine="2551"/>
        <w:jc w:val="center"/>
      </w:pPr>
      <w:r>
        <w:rPr>
          <w:bdr w:val="none" w:color="auto" w:sz="0" w:space="0"/>
        </w:rPr>
        <w:t> </w:t>
      </w:r>
    </w:p>
    <w:p w14:paraId="5F9CBA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960" w:firstLine="2551"/>
        <w:jc w:val="center"/>
      </w:pPr>
      <w:r>
        <w:rPr>
          <w:bdr w:val="none" w:color="auto" w:sz="0" w:space="0"/>
        </w:rPr>
        <w:t> </w:t>
      </w:r>
    </w:p>
    <w:p w14:paraId="39E62F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960" w:firstLine="2551"/>
      </w:pPr>
      <w:r>
        <w:rPr>
          <w:rFonts w:hint="default" w:ascii="Calibri" w:hAnsi="Calibri" w:cs="Calibri"/>
          <w:color w:val="000000"/>
          <w:sz w:val="24"/>
          <w:szCs w:val="24"/>
        </w:rPr>
        <w:t>承诺日期：</w:t>
      </w:r>
      <w:r>
        <w:rPr>
          <w:rFonts w:hint="default" w:ascii="Calibri" w:hAnsi="Calibri" w:cs="Calibri"/>
          <w:color w:val="000000"/>
          <w:sz w:val="24"/>
          <w:szCs w:val="24"/>
          <w:u w:val="single"/>
        </w:rPr>
        <w:t>      年  月  日</w:t>
      </w:r>
    </w:p>
    <w:p w14:paraId="34294E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480" w:firstLine="199"/>
      </w:pPr>
      <w:r>
        <w:rPr>
          <w:bdr w:val="none" w:color="auto" w:sz="0" w:space="0"/>
        </w:rPr>
        <w:t> </w:t>
      </w:r>
    </w:p>
    <w:p w14:paraId="5BE302A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480" w:firstLine="480"/>
      </w:pPr>
      <w:r>
        <w:rPr>
          <w:bdr w:val="none" w:color="auto" w:sz="0" w:space="0"/>
        </w:rPr>
        <w:t> </w:t>
      </w:r>
    </w:p>
    <w:p w14:paraId="3D6C5B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480" w:firstLine="480"/>
      </w:pPr>
      <w:r>
        <w:t> </w:t>
      </w:r>
    </w:p>
    <w:p w14:paraId="6CB8DEE1">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Times New Roman" w:hAnsi="Times New Roman" w:cs="Times New Roman"/>
          <w:color w:val="000000"/>
          <w:sz w:val="28"/>
          <w:szCs w:val="28"/>
        </w:rPr>
        <w:br w:type="page"/>
      </w:r>
      <w:r>
        <w:rPr>
          <w:rFonts w:hint="default" w:ascii="Times New Roman" w:hAnsi="Times New Roman" w:cs="Times New Roman"/>
          <w:color w:val="000000"/>
          <w:sz w:val="28"/>
          <w:szCs w:val="28"/>
        </w:rPr>
        <w:t> </w:t>
      </w:r>
    </w:p>
    <w:p w14:paraId="004EE024">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p w14:paraId="6835291F">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bookmarkStart w:id="988" w:name="_Toc16907"/>
      <w:r>
        <w:rPr>
          <w:rFonts w:hint="eastAsia" w:ascii="黑体" w:hAnsi="宋体" w:eastAsia="黑体" w:cs="黑体"/>
          <w:color w:val="000000"/>
          <w:sz w:val="28"/>
          <w:szCs w:val="28"/>
        </w:rPr>
        <w:t>附件七  廉洁协议</w:t>
      </w:r>
      <w:bookmarkEnd w:id="988"/>
    </w:p>
    <w:p w14:paraId="5791112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r>
        <w:rPr>
          <w:rFonts w:hint="default" w:ascii="Calibri" w:hAnsi="Calibri" w:cs="Calibri"/>
          <w:color w:val="000000"/>
          <w:sz w:val="28"/>
          <w:szCs w:val="28"/>
        </w:rPr>
        <w:t>廉洁协议</w:t>
      </w:r>
    </w:p>
    <w:p w14:paraId="20D289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1"/>
        </w:tabs>
        <w:spacing w:before="0" w:beforeAutospacing="0" w:after="0" w:afterAutospacing="0" w:line="360" w:lineRule="auto"/>
        <w:ind w:left="0" w:firstLine="480"/>
      </w:pPr>
      <w:r>
        <w:rPr>
          <w:rFonts w:hint="default" w:ascii="Calibri" w:hAnsi="Calibri" w:cs="Calibri"/>
          <w:color w:val="000000"/>
          <w:sz w:val="24"/>
          <w:szCs w:val="24"/>
        </w:rPr>
        <w:t>甲方（发包人）：</w:t>
      </w:r>
      <w:r>
        <w:rPr>
          <w:rFonts w:hint="default" w:ascii="Calibri" w:hAnsi="Calibri" w:cs="Calibri"/>
          <w:color w:val="000000"/>
          <w:sz w:val="24"/>
          <w:szCs w:val="24"/>
          <w:u w:val="single"/>
        </w:rPr>
        <w:t xml:space="preserve">      </w:t>
      </w:r>
    </w:p>
    <w:p w14:paraId="7E105F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1"/>
        </w:tabs>
        <w:spacing w:before="0" w:beforeAutospacing="0" w:after="0" w:afterAutospacing="0" w:line="360" w:lineRule="auto"/>
        <w:ind w:left="0" w:firstLine="480"/>
      </w:pPr>
      <w:r>
        <w:rPr>
          <w:rFonts w:hint="default" w:ascii="Calibri" w:hAnsi="Calibri" w:cs="Calibri"/>
          <w:color w:val="000000"/>
          <w:sz w:val="24"/>
          <w:szCs w:val="24"/>
        </w:rPr>
        <w:t xml:space="preserve">乙方（承包人）：  </w:t>
      </w:r>
      <w:r>
        <w:rPr>
          <w:rFonts w:hint="default" w:ascii="Calibri" w:hAnsi="Calibri" w:cs="Calibri"/>
          <w:color w:val="000000"/>
          <w:sz w:val="24"/>
          <w:szCs w:val="24"/>
          <w:u w:val="single"/>
        </w:rPr>
        <w:t xml:space="preserve">             </w:t>
      </w:r>
    </w:p>
    <w:p w14:paraId="792E72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1"/>
        </w:tabs>
        <w:spacing w:before="0" w:beforeAutospacing="0" w:after="0" w:afterAutospacing="0" w:line="360" w:lineRule="auto"/>
        <w:ind w:left="0" w:firstLine="480"/>
      </w:pPr>
      <w:r>
        <w:rPr>
          <w:rFonts w:hint="default" w:ascii="Calibri" w:hAnsi="Calibri" w:cs="Calibri"/>
          <w:color w:val="000000"/>
          <w:sz w:val="24"/>
          <w:szCs w:val="24"/>
        </w:rPr>
        <w:t>为了防范和控制</w:t>
      </w:r>
      <w:r>
        <w:rPr>
          <w:rFonts w:hint="default" w:ascii="Calibri" w:hAnsi="Calibri" w:cs="Calibri"/>
          <w:color w:val="000000"/>
          <w:sz w:val="24"/>
          <w:szCs w:val="24"/>
          <w:u w:val="single"/>
        </w:rPr>
        <w:t xml:space="preserve">  【  】EPC总承包合同   </w:t>
      </w:r>
      <w:r>
        <w:rPr>
          <w:rFonts w:hint="default" w:ascii="Calibri" w:hAnsi="Calibri" w:cs="Calibri"/>
          <w:color w:val="000000"/>
          <w:sz w:val="24"/>
          <w:szCs w:val="24"/>
        </w:rPr>
        <w:t>（合同编号：</w:t>
      </w:r>
      <w:r>
        <w:rPr>
          <w:rFonts w:hint="default" w:ascii="Calibri" w:hAnsi="Calibri" w:cs="Calibri"/>
          <w:color w:val="000000"/>
          <w:sz w:val="24"/>
          <w:szCs w:val="24"/>
          <w:u w:val="single"/>
        </w:rPr>
        <w:t xml:space="preserve">             </w:t>
      </w:r>
      <w:r>
        <w:rPr>
          <w:rFonts w:hint="default" w:ascii="Calibri" w:hAnsi="Calibri" w:cs="Calibri"/>
          <w:color w:val="000000"/>
          <w:sz w:val="24"/>
          <w:szCs w:val="24"/>
        </w:rPr>
        <w:t>）商定及履行过程中的廉洁风险，维护正常的市场秩序和双方的合法权益，根据反腐倡廉相关规定，经双方商议，特签订本协议。</w:t>
      </w:r>
    </w:p>
    <w:p w14:paraId="174645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1"/>
        </w:tabs>
        <w:spacing w:before="0" w:beforeAutospacing="0" w:after="0" w:afterAutospacing="0" w:line="360" w:lineRule="auto"/>
        <w:ind w:left="0" w:firstLine="489"/>
      </w:pPr>
      <w:bookmarkStart w:id="989" w:name="_Toc79760422"/>
      <w:r>
        <w:rPr>
          <w:rFonts w:hint="default" w:ascii="Calibri" w:hAnsi="Calibri" w:cs="Calibri"/>
          <w:b/>
          <w:bCs/>
          <w:color w:val="000000"/>
          <w:sz w:val="24"/>
          <w:szCs w:val="24"/>
        </w:rPr>
        <w:t>一、 甲乙双方责任</w:t>
      </w:r>
      <w:bookmarkEnd w:id="989"/>
    </w:p>
    <w:p w14:paraId="746BF3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1"/>
        </w:tabs>
        <w:spacing w:before="0" w:beforeAutospacing="0" w:after="0" w:afterAutospacing="0" w:line="360" w:lineRule="auto"/>
        <w:ind w:left="0" w:firstLine="480"/>
      </w:pPr>
      <w:r>
        <w:rPr>
          <w:rFonts w:hint="default" w:ascii="Calibri" w:hAnsi="Calibri" w:cs="Calibri"/>
          <w:color w:val="000000"/>
          <w:sz w:val="24"/>
          <w:szCs w:val="24"/>
        </w:rPr>
        <w:t>1．严格遵守国家的法律法规和廉洁从业有关规定。</w:t>
      </w:r>
    </w:p>
    <w:p w14:paraId="45EF87C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1"/>
        </w:tabs>
        <w:spacing w:before="0" w:beforeAutospacing="0" w:after="0" w:afterAutospacing="0" w:line="360" w:lineRule="auto"/>
        <w:ind w:left="0" w:firstLine="480"/>
      </w:pPr>
      <w:r>
        <w:rPr>
          <w:rFonts w:hint="default" w:ascii="Calibri" w:hAnsi="Calibri" w:cs="Calibri"/>
          <w:color w:val="000000"/>
          <w:sz w:val="24"/>
          <w:szCs w:val="24"/>
        </w:rPr>
        <w:t>2．坚持公开、公正、诚信、透明的原则（国家秘密、商业秘密和合同文件另有规定的除外），不得损害国家、集体和双方的正当利益。</w:t>
      </w:r>
    </w:p>
    <w:p w14:paraId="54FA1B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1"/>
        </w:tabs>
        <w:spacing w:before="0" w:beforeAutospacing="0" w:after="0" w:afterAutospacing="0" w:line="360" w:lineRule="auto"/>
        <w:ind w:left="0" w:firstLine="480"/>
      </w:pPr>
      <w:r>
        <w:rPr>
          <w:rFonts w:hint="default" w:ascii="Calibri" w:hAnsi="Calibri" w:cs="Calibri"/>
          <w:color w:val="000000"/>
          <w:sz w:val="24"/>
          <w:szCs w:val="24"/>
        </w:rPr>
        <w:t>3．定期开展党风廉政宣传教育活动，增强从业人员的廉洁意识。</w:t>
      </w:r>
    </w:p>
    <w:p w14:paraId="76E21FC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1"/>
        </w:tabs>
        <w:spacing w:before="0" w:beforeAutospacing="0" w:after="0" w:afterAutospacing="0" w:line="360" w:lineRule="auto"/>
        <w:ind w:left="0" w:firstLine="480"/>
      </w:pPr>
      <w:r>
        <w:rPr>
          <w:rFonts w:hint="default" w:ascii="Calibri" w:hAnsi="Calibri" w:cs="Calibri"/>
          <w:color w:val="000000"/>
          <w:sz w:val="24"/>
          <w:szCs w:val="24"/>
        </w:rPr>
        <w:t>4．规范招标及采购管理，加强廉洁风险防范。</w:t>
      </w:r>
    </w:p>
    <w:p w14:paraId="4F28103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1"/>
        </w:tabs>
        <w:spacing w:before="0" w:beforeAutospacing="0" w:after="0" w:afterAutospacing="0" w:line="360" w:lineRule="auto"/>
        <w:ind w:left="0" w:firstLine="480"/>
      </w:pPr>
      <w:r>
        <w:rPr>
          <w:rFonts w:hint="default" w:ascii="Calibri" w:hAnsi="Calibri" w:cs="Calibri"/>
          <w:color w:val="000000"/>
          <w:sz w:val="24"/>
          <w:szCs w:val="24"/>
        </w:rPr>
        <w:t>5．开展多种形式的监督检查。</w:t>
      </w:r>
    </w:p>
    <w:p w14:paraId="00E32A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1"/>
        </w:tabs>
        <w:spacing w:before="0" w:beforeAutospacing="0" w:after="0" w:afterAutospacing="0" w:line="360" w:lineRule="auto"/>
        <w:ind w:left="0" w:firstLine="480"/>
      </w:pPr>
      <w:r>
        <w:rPr>
          <w:rFonts w:hint="default" w:ascii="Calibri" w:hAnsi="Calibri" w:cs="Calibri"/>
          <w:color w:val="000000"/>
          <w:sz w:val="24"/>
          <w:szCs w:val="24"/>
        </w:rPr>
        <w:t>6．发生涉及本项目的不廉洁问题，及时按规定向双方纪检监察部门或司法机关举报或通报，并积极配合查处。</w:t>
      </w:r>
    </w:p>
    <w:p w14:paraId="64E96A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9"/>
      </w:pPr>
      <w:bookmarkStart w:id="990" w:name="_Toc79760423"/>
      <w:r>
        <w:rPr>
          <w:rFonts w:hint="default" w:ascii="Calibri" w:hAnsi="Calibri" w:cs="Calibri"/>
          <w:b/>
          <w:bCs/>
          <w:color w:val="000000"/>
          <w:sz w:val="24"/>
          <w:szCs w:val="24"/>
        </w:rPr>
        <w:t>二、甲方人员义务</w:t>
      </w:r>
      <w:bookmarkEnd w:id="990"/>
    </w:p>
    <w:p w14:paraId="3D956D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1．不得索取或接受乙方提供的利益和方便。</w:t>
      </w:r>
    </w:p>
    <w:p w14:paraId="6A6DAE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（1）不得索取或接受乙方的礼品、礼金、有价证券、支付凭证和商业预付卡等（以下简称礼品礼金）；</w:t>
      </w:r>
    </w:p>
    <w:p w14:paraId="2A94CC2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（2）不得参加乙方安排的宴请和娱乐活动；不得接受乙方提供的通讯工具、交通工具及其他服务；</w:t>
      </w:r>
    </w:p>
    <w:p w14:paraId="2B7C58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（3）不得在个人住房装修、婚丧嫁娶、配偶、子女和其他亲属就业、旅游等事宜中索取或接受乙方提供的利益和便利；不得在乙方报销任何应由甲方负担或支付的费用；</w:t>
      </w:r>
    </w:p>
    <w:p w14:paraId="7B5563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2．不得利用职权从事各种有偿中介活动，不得营私舞弊。</w:t>
      </w:r>
    </w:p>
    <w:p w14:paraId="627C36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3．甲方人员的配偶、子女、近亲属不得从事与甲方项目有关的物资供应、工程分包、劳务等经济活动。</w:t>
      </w:r>
    </w:p>
    <w:p w14:paraId="001AE2C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4．不得违反规定向乙方推荐分包商或供应商。</w:t>
      </w:r>
    </w:p>
    <w:p w14:paraId="4DB52F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5．不得有其他不廉洁行为。</w:t>
      </w:r>
    </w:p>
    <w:p w14:paraId="2CABCA2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9"/>
      </w:pPr>
      <w:bookmarkStart w:id="991" w:name="_Toc79760424"/>
      <w:r>
        <w:rPr>
          <w:rFonts w:hint="default" w:ascii="Calibri" w:hAnsi="Calibri" w:cs="Calibri"/>
          <w:b/>
          <w:bCs/>
          <w:color w:val="000000"/>
          <w:sz w:val="24"/>
          <w:szCs w:val="24"/>
        </w:rPr>
        <w:t>三、乙方人员义务</w:t>
      </w:r>
      <w:bookmarkEnd w:id="991"/>
    </w:p>
    <w:p w14:paraId="603910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1．不得以任何形式向甲方及相关人员输送利益和方便。</w:t>
      </w:r>
    </w:p>
    <w:p w14:paraId="38DC80C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（1）不得向甲方及相关人员行贿或馈赠礼品礼金；</w:t>
      </w:r>
    </w:p>
    <w:p w14:paraId="36C64A5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（2）不得向甲方及相关人员提供宴请和娱乐活动；不得为其购置或提供通讯工具、交通工具及其他服务；</w:t>
      </w:r>
    </w:p>
    <w:p w14:paraId="7EE5337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（3）不得为甲方及相关人员在住房装修、婚丧嫁娶、配偶、子女和其他亲属就业、旅游等事宜中提供利益和便利；不得以任何名义报销应由甲方及相关人员负担或支付的费用。</w:t>
      </w:r>
    </w:p>
    <w:p w14:paraId="3364E2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2．不得有其他不廉洁行为。</w:t>
      </w:r>
    </w:p>
    <w:p w14:paraId="6086D9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3．积极支持配合甲方调查问题，不得隐瞒、袒护甲方及相关人员的不廉洁问题。</w:t>
      </w:r>
    </w:p>
    <w:p w14:paraId="37EBD6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9"/>
      </w:pPr>
      <w:bookmarkStart w:id="992" w:name="_Toc79760425"/>
      <w:r>
        <w:rPr>
          <w:rFonts w:hint="default" w:ascii="Calibri" w:hAnsi="Calibri" w:cs="Calibri"/>
          <w:b/>
          <w:bCs/>
          <w:color w:val="000000"/>
          <w:sz w:val="24"/>
          <w:szCs w:val="24"/>
        </w:rPr>
        <w:t>四、 责任追究</w:t>
      </w:r>
      <w:bookmarkEnd w:id="992"/>
    </w:p>
    <w:p w14:paraId="103B5E8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1．按照国家、上级机关和甲乙双方的有关制度和规定，以甲方为主、乙方配合，追究涉及本项目的不廉洁问题。</w:t>
      </w:r>
    </w:p>
    <w:p w14:paraId="7687DF7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2．建立廉洁违约罚金制度。廉洁违约罚金的额度为合同总额的1%（不超过50万元）。如违反本协议，根据情节、损失和后果按以下规定在合同支付款中进行扣减。</w:t>
      </w:r>
    </w:p>
    <w:p w14:paraId="03E3D22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（1）造成直接损失或不良后果，情节较轻的，扣除10%-40%廉洁违约罚金；</w:t>
      </w:r>
    </w:p>
    <w:p w14:paraId="2213D6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（2）情节较重的，扣除50%廉洁违约罚金；</w:t>
      </w:r>
    </w:p>
    <w:p w14:paraId="3B2307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（3）情节严重的，扣除100%廉洁违约罚金。</w:t>
      </w:r>
    </w:p>
    <w:p w14:paraId="4B7ACF1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3．廉洁违约罚金的扣减：由合同管理单位根据纪检监察部门的处罚意见，与合同进度款的结算同步进行。</w:t>
      </w:r>
    </w:p>
    <w:p w14:paraId="581388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4．对积极配合甲方调查，并确有立功表现或从轻、减轻违纪违规情节的，可根据相关规定履行审批手续后酌情减免处罚。</w:t>
      </w:r>
    </w:p>
    <w:p w14:paraId="5EEADF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5．任何一方违反本协议，影响守约方履行合同并造成损失的，违约方应承担赔偿责任。</w:t>
      </w:r>
    </w:p>
    <w:p w14:paraId="17103A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9"/>
      </w:pPr>
      <w:bookmarkStart w:id="993" w:name="_Toc79760426"/>
      <w:r>
        <w:rPr>
          <w:rFonts w:hint="default" w:ascii="Calibri" w:hAnsi="Calibri" w:cs="Calibri"/>
          <w:b/>
          <w:bCs/>
          <w:color w:val="000000"/>
          <w:sz w:val="24"/>
          <w:szCs w:val="24"/>
        </w:rPr>
        <w:t>五、监督执行</w:t>
      </w:r>
      <w:bookmarkEnd w:id="993"/>
    </w:p>
    <w:p w14:paraId="18BF94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1．本协议作为项目合同的附件，由甲乙双方相关职能部门联合监督执行。</w:t>
      </w:r>
    </w:p>
    <w:p w14:paraId="00A2CEF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2．甲方举报电话：</w:t>
      </w:r>
      <w:r>
        <w:rPr>
          <w:rFonts w:hint="default" w:ascii="Calibri" w:hAnsi="Calibri" w:cs="Calibri"/>
          <w:color w:val="000000"/>
          <w:sz w:val="24"/>
          <w:szCs w:val="24"/>
          <w:u w:val="single"/>
        </w:rPr>
        <w:t xml:space="preserve">                             </w:t>
      </w:r>
      <w:r>
        <w:rPr>
          <w:rFonts w:hint="default" w:ascii="Calibri" w:hAnsi="Calibri" w:cs="Calibri"/>
          <w:color w:val="000000"/>
          <w:sz w:val="24"/>
          <w:szCs w:val="24"/>
        </w:rPr>
        <w:t>；乙方举报电话：</w:t>
      </w:r>
      <w:r>
        <w:rPr>
          <w:rFonts w:hint="default" w:ascii="Calibri" w:hAnsi="Calibri" w:cs="Calibri"/>
          <w:color w:val="000000"/>
          <w:sz w:val="24"/>
          <w:szCs w:val="24"/>
          <w:u w:val="single"/>
        </w:rPr>
        <w:t xml:space="preserve">             </w:t>
      </w:r>
      <w:r>
        <w:rPr>
          <w:rFonts w:hint="default" w:ascii="Calibri" w:hAnsi="Calibri" w:cs="Calibri"/>
          <w:color w:val="000000"/>
          <w:sz w:val="24"/>
          <w:szCs w:val="24"/>
        </w:rPr>
        <w:t>。</w:t>
      </w:r>
    </w:p>
    <w:p w14:paraId="4DD292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9"/>
      </w:pPr>
      <w:bookmarkStart w:id="994" w:name="_Toc79760427"/>
      <w:r>
        <w:rPr>
          <w:rFonts w:hint="default" w:ascii="Calibri" w:hAnsi="Calibri" w:cs="Calibri"/>
          <w:b/>
          <w:bCs/>
          <w:color w:val="000000"/>
          <w:sz w:val="24"/>
          <w:szCs w:val="24"/>
        </w:rPr>
        <w:t>六、其他</w:t>
      </w:r>
      <w:bookmarkEnd w:id="994"/>
    </w:p>
    <w:p w14:paraId="3B2AD79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1．因执行本协议所发生的有关争议，适用主合同争议解决条款。</w:t>
      </w:r>
    </w:p>
    <w:p w14:paraId="44850D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2．本协议作为</w:t>
      </w:r>
      <w:r>
        <w:rPr>
          <w:rFonts w:hint="default" w:ascii="Calibri" w:hAnsi="Calibri" w:cs="Calibri"/>
          <w:color w:val="000000"/>
          <w:sz w:val="24"/>
          <w:szCs w:val="24"/>
          <w:u w:val="single"/>
        </w:rPr>
        <w:t> 【  】EPC总承包合同</w:t>
      </w:r>
      <w:r>
        <w:rPr>
          <w:rFonts w:hint="default" w:ascii="Calibri" w:hAnsi="Calibri" w:cs="Calibri"/>
          <w:color w:val="000000"/>
          <w:sz w:val="24"/>
          <w:szCs w:val="24"/>
        </w:rPr>
        <w:t>的附件，一式</w:t>
      </w:r>
      <w:r>
        <w:rPr>
          <w:rFonts w:hint="default" w:ascii="Calibri" w:hAnsi="Calibri" w:cs="Calibri"/>
          <w:color w:val="000000"/>
          <w:sz w:val="24"/>
          <w:szCs w:val="24"/>
          <w:u w:val="single"/>
        </w:rPr>
        <w:t> 贰</w:t>
      </w:r>
      <w:r>
        <w:rPr>
          <w:rFonts w:hint="default" w:ascii="Calibri" w:hAnsi="Calibri" w:cs="Calibri"/>
          <w:color w:val="000000"/>
          <w:sz w:val="24"/>
          <w:szCs w:val="24"/>
        </w:rPr>
        <w:t>份，双方各执</w:t>
      </w:r>
      <w:r>
        <w:rPr>
          <w:rFonts w:hint="default" w:ascii="Calibri" w:hAnsi="Calibri" w:cs="Calibri"/>
          <w:color w:val="000000"/>
          <w:sz w:val="24"/>
          <w:szCs w:val="24"/>
          <w:u w:val="single"/>
        </w:rPr>
        <w:t> 壹</w:t>
      </w:r>
      <w:r>
        <w:rPr>
          <w:rFonts w:hint="default" w:ascii="Calibri" w:hAnsi="Calibri" w:cs="Calibri"/>
          <w:color w:val="000000"/>
          <w:sz w:val="24"/>
          <w:szCs w:val="24"/>
        </w:rPr>
        <w:t>份。</w:t>
      </w:r>
    </w:p>
    <w:p w14:paraId="4164B7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Times New Roman" w:hAnsi="Times New Roman" w:cs="Times New Roman"/>
          <w:color w:val="000000"/>
          <w:sz w:val="24"/>
          <w:szCs w:val="24"/>
        </w:rPr>
        <w:t>3．双方法定代表人或授权代表在此签字并加盖单位章，签字并盖章之日起本协议生效。</w:t>
      </w:r>
    </w:p>
    <w:p w14:paraId="6060112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t> </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53"/>
        <w:gridCol w:w="4269"/>
      </w:tblGrid>
      <w:tr w14:paraId="6437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blCellSpacing w:w="0" w:type="dxa"/>
          <w:jc w:val="center"/>
        </w:trPr>
        <w:tc>
          <w:tcPr>
            <w:tcW w:w="4434" w:type="dxa"/>
            <w:tcBorders>
              <w:top w:val="nil"/>
              <w:left w:val="nil"/>
              <w:bottom w:val="nil"/>
              <w:right w:val="nil"/>
            </w:tcBorders>
            <w:shd w:val="clear"/>
            <w:vAlign w:val="center"/>
          </w:tcPr>
          <w:p w14:paraId="78CD381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ascii="仿宋" w:hAnsi="仿宋" w:eastAsia="仿宋" w:cs="仿宋"/>
                <w:color w:val="000000"/>
                <w:sz w:val="24"/>
                <w:szCs w:val="24"/>
                <w:bdr w:val="none" w:color="auto" w:sz="0" w:space="0"/>
              </w:rPr>
              <w:t>发包人</w:t>
            </w:r>
            <w:r>
              <w:rPr>
                <w:rFonts w:hint="eastAsia" w:ascii="仿宋" w:hAnsi="仿宋" w:eastAsia="仿宋" w:cs="仿宋"/>
                <w:color w:val="000000"/>
                <w:sz w:val="24"/>
                <w:szCs w:val="24"/>
                <w:bdr w:val="none" w:color="auto" w:sz="0" w:space="0"/>
              </w:rPr>
              <w:t xml:space="preserve">：             （盖章）     </w:t>
            </w:r>
          </w:p>
        </w:tc>
        <w:tc>
          <w:tcPr>
            <w:tcW w:w="4467" w:type="dxa"/>
            <w:tcBorders>
              <w:top w:val="nil"/>
              <w:left w:val="nil"/>
              <w:bottom w:val="nil"/>
              <w:right w:val="nil"/>
            </w:tcBorders>
            <w:shd w:val="clear"/>
            <w:vAlign w:val="center"/>
          </w:tcPr>
          <w:p w14:paraId="2C5876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承包人：           （盖章）</w:t>
            </w:r>
          </w:p>
        </w:tc>
      </w:tr>
      <w:tr w14:paraId="5CD3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blCellSpacing w:w="0" w:type="dxa"/>
          <w:jc w:val="center"/>
        </w:trPr>
        <w:tc>
          <w:tcPr>
            <w:tcW w:w="4434" w:type="dxa"/>
            <w:tcBorders>
              <w:top w:val="nil"/>
              <w:left w:val="nil"/>
              <w:bottom w:val="nil"/>
              <w:right w:val="nil"/>
            </w:tcBorders>
            <w:shd w:val="clear"/>
            <w:vAlign w:val="center"/>
          </w:tcPr>
          <w:p w14:paraId="4258A2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法定代表人/授权代表（签字）：</w:t>
            </w:r>
          </w:p>
        </w:tc>
        <w:tc>
          <w:tcPr>
            <w:tcW w:w="4467" w:type="dxa"/>
            <w:tcBorders>
              <w:top w:val="nil"/>
              <w:left w:val="nil"/>
              <w:bottom w:val="nil"/>
              <w:right w:val="nil"/>
            </w:tcBorders>
            <w:shd w:val="clear"/>
            <w:vAlign w:val="center"/>
          </w:tcPr>
          <w:p w14:paraId="79141C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法定代表人/授权代表（签字）：</w:t>
            </w:r>
          </w:p>
        </w:tc>
      </w:tr>
      <w:tr w14:paraId="798B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6" w:hRule="atLeast"/>
          <w:tblCellSpacing w:w="0" w:type="dxa"/>
          <w:jc w:val="center"/>
        </w:trPr>
        <w:tc>
          <w:tcPr>
            <w:tcW w:w="4434" w:type="dxa"/>
            <w:tcBorders>
              <w:top w:val="nil"/>
              <w:left w:val="nil"/>
              <w:bottom w:val="nil"/>
              <w:right w:val="nil"/>
            </w:tcBorders>
            <w:shd w:val="clear"/>
            <w:vAlign w:val="center"/>
          </w:tcPr>
          <w:p w14:paraId="213A40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签订日期：     年   月   日</w:t>
            </w:r>
          </w:p>
        </w:tc>
        <w:tc>
          <w:tcPr>
            <w:tcW w:w="4467" w:type="dxa"/>
            <w:tcBorders>
              <w:top w:val="nil"/>
              <w:left w:val="nil"/>
              <w:bottom w:val="nil"/>
              <w:right w:val="nil"/>
            </w:tcBorders>
            <w:shd w:val="clear"/>
            <w:vAlign w:val="center"/>
          </w:tcPr>
          <w:p w14:paraId="0CEE66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签订日期：     年   月   日</w:t>
            </w:r>
          </w:p>
        </w:tc>
      </w:tr>
      <w:tr w14:paraId="2F91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blCellSpacing w:w="0" w:type="dxa"/>
          <w:jc w:val="center"/>
        </w:trPr>
        <w:tc>
          <w:tcPr>
            <w:tcW w:w="4434" w:type="dxa"/>
            <w:tcBorders>
              <w:top w:val="nil"/>
              <w:left w:val="nil"/>
              <w:bottom w:val="nil"/>
              <w:right w:val="nil"/>
            </w:tcBorders>
            <w:shd w:val="clear"/>
            <w:vAlign w:val="center"/>
          </w:tcPr>
          <w:p w14:paraId="3E9B493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地址：</w:t>
            </w:r>
          </w:p>
        </w:tc>
        <w:tc>
          <w:tcPr>
            <w:tcW w:w="4467" w:type="dxa"/>
            <w:tcBorders>
              <w:top w:val="nil"/>
              <w:left w:val="nil"/>
              <w:bottom w:val="nil"/>
              <w:right w:val="nil"/>
            </w:tcBorders>
            <w:shd w:val="clear"/>
            <w:vAlign w:val="center"/>
          </w:tcPr>
          <w:p w14:paraId="650991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地址：</w:t>
            </w:r>
          </w:p>
        </w:tc>
      </w:tr>
      <w:tr w14:paraId="3D12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1" w:hRule="atLeast"/>
          <w:tblCellSpacing w:w="0" w:type="dxa"/>
          <w:jc w:val="center"/>
        </w:trPr>
        <w:tc>
          <w:tcPr>
            <w:tcW w:w="4434" w:type="dxa"/>
            <w:tcBorders>
              <w:top w:val="nil"/>
              <w:left w:val="nil"/>
              <w:bottom w:val="nil"/>
              <w:right w:val="nil"/>
            </w:tcBorders>
            <w:shd w:val="clear"/>
            <w:vAlign w:val="center"/>
          </w:tcPr>
          <w:p w14:paraId="3671DE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 xml:space="preserve">邮编： </w:t>
            </w:r>
          </w:p>
        </w:tc>
        <w:tc>
          <w:tcPr>
            <w:tcW w:w="4467" w:type="dxa"/>
            <w:tcBorders>
              <w:top w:val="nil"/>
              <w:left w:val="nil"/>
              <w:bottom w:val="nil"/>
              <w:right w:val="nil"/>
            </w:tcBorders>
            <w:shd w:val="clear"/>
            <w:vAlign w:val="center"/>
          </w:tcPr>
          <w:p w14:paraId="0077B7F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邮编：</w:t>
            </w:r>
          </w:p>
        </w:tc>
      </w:tr>
      <w:tr w14:paraId="1BBD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703695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联系人：</w:t>
            </w:r>
          </w:p>
        </w:tc>
        <w:tc>
          <w:tcPr>
            <w:tcW w:w="4467" w:type="dxa"/>
            <w:tcBorders>
              <w:top w:val="nil"/>
              <w:left w:val="nil"/>
              <w:bottom w:val="nil"/>
              <w:right w:val="nil"/>
            </w:tcBorders>
            <w:shd w:val="clear"/>
            <w:vAlign w:val="center"/>
          </w:tcPr>
          <w:p w14:paraId="79B10B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联系人：</w:t>
            </w:r>
          </w:p>
        </w:tc>
      </w:tr>
      <w:tr w14:paraId="26B7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6D835E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电话：</w:t>
            </w:r>
          </w:p>
        </w:tc>
        <w:tc>
          <w:tcPr>
            <w:tcW w:w="4467" w:type="dxa"/>
            <w:tcBorders>
              <w:top w:val="nil"/>
              <w:left w:val="nil"/>
              <w:bottom w:val="nil"/>
              <w:right w:val="nil"/>
            </w:tcBorders>
            <w:shd w:val="clear"/>
            <w:vAlign w:val="center"/>
          </w:tcPr>
          <w:p w14:paraId="787F4D5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电话：</w:t>
            </w:r>
          </w:p>
        </w:tc>
      </w:tr>
      <w:tr w14:paraId="7A04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blCellSpacing w:w="0" w:type="dxa"/>
          <w:jc w:val="center"/>
        </w:trPr>
        <w:tc>
          <w:tcPr>
            <w:tcW w:w="4434" w:type="dxa"/>
            <w:tcBorders>
              <w:top w:val="nil"/>
              <w:left w:val="nil"/>
              <w:bottom w:val="nil"/>
              <w:right w:val="nil"/>
            </w:tcBorders>
            <w:shd w:val="clear"/>
            <w:vAlign w:val="center"/>
          </w:tcPr>
          <w:p w14:paraId="491E36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邮箱：</w:t>
            </w:r>
          </w:p>
        </w:tc>
        <w:tc>
          <w:tcPr>
            <w:tcW w:w="4467" w:type="dxa"/>
            <w:tcBorders>
              <w:top w:val="nil"/>
              <w:left w:val="nil"/>
              <w:bottom w:val="nil"/>
              <w:right w:val="nil"/>
            </w:tcBorders>
            <w:shd w:val="clear"/>
            <w:vAlign w:val="center"/>
          </w:tcPr>
          <w:p w14:paraId="02C080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邮箱：</w:t>
            </w:r>
          </w:p>
        </w:tc>
      </w:tr>
      <w:tr w14:paraId="427C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blCellSpacing w:w="0" w:type="dxa"/>
          <w:jc w:val="center"/>
        </w:trPr>
        <w:tc>
          <w:tcPr>
            <w:tcW w:w="4434" w:type="dxa"/>
            <w:tcBorders>
              <w:top w:val="nil"/>
              <w:left w:val="nil"/>
              <w:bottom w:val="nil"/>
              <w:right w:val="nil"/>
            </w:tcBorders>
            <w:shd w:val="clear"/>
            <w:vAlign w:val="center"/>
          </w:tcPr>
          <w:p w14:paraId="28AC0E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开户银行：</w:t>
            </w:r>
          </w:p>
        </w:tc>
        <w:tc>
          <w:tcPr>
            <w:tcW w:w="4467" w:type="dxa"/>
            <w:tcBorders>
              <w:top w:val="nil"/>
              <w:left w:val="nil"/>
              <w:bottom w:val="nil"/>
              <w:right w:val="nil"/>
            </w:tcBorders>
            <w:shd w:val="clear"/>
            <w:vAlign w:val="center"/>
          </w:tcPr>
          <w:p w14:paraId="51624BD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开户银行：</w:t>
            </w:r>
          </w:p>
        </w:tc>
      </w:tr>
      <w:tr w14:paraId="4F6B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blCellSpacing w:w="0" w:type="dxa"/>
          <w:jc w:val="center"/>
        </w:trPr>
        <w:tc>
          <w:tcPr>
            <w:tcW w:w="4434" w:type="dxa"/>
            <w:tcBorders>
              <w:top w:val="nil"/>
              <w:left w:val="nil"/>
              <w:bottom w:val="nil"/>
              <w:right w:val="nil"/>
            </w:tcBorders>
            <w:shd w:val="clear"/>
            <w:vAlign w:val="center"/>
          </w:tcPr>
          <w:p w14:paraId="7BD527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账号：</w:t>
            </w:r>
          </w:p>
        </w:tc>
        <w:tc>
          <w:tcPr>
            <w:tcW w:w="4467" w:type="dxa"/>
            <w:tcBorders>
              <w:top w:val="nil"/>
              <w:left w:val="nil"/>
              <w:bottom w:val="nil"/>
              <w:right w:val="nil"/>
            </w:tcBorders>
            <w:shd w:val="clear"/>
            <w:vAlign w:val="center"/>
          </w:tcPr>
          <w:p w14:paraId="181459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账号：</w:t>
            </w:r>
          </w:p>
        </w:tc>
      </w:tr>
      <w:tr w14:paraId="568D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blCellSpacing w:w="0" w:type="dxa"/>
          <w:jc w:val="center"/>
        </w:trPr>
        <w:tc>
          <w:tcPr>
            <w:tcW w:w="4434" w:type="dxa"/>
            <w:tcBorders>
              <w:top w:val="nil"/>
              <w:left w:val="nil"/>
              <w:bottom w:val="nil"/>
              <w:right w:val="nil"/>
            </w:tcBorders>
            <w:shd w:val="clear"/>
            <w:vAlign w:val="center"/>
          </w:tcPr>
          <w:p w14:paraId="70A304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税号：</w:t>
            </w:r>
          </w:p>
        </w:tc>
        <w:tc>
          <w:tcPr>
            <w:tcW w:w="4467" w:type="dxa"/>
            <w:tcBorders>
              <w:top w:val="nil"/>
              <w:left w:val="nil"/>
              <w:bottom w:val="nil"/>
              <w:right w:val="nil"/>
            </w:tcBorders>
            <w:shd w:val="clear"/>
            <w:vAlign w:val="center"/>
          </w:tcPr>
          <w:p w14:paraId="0A276A1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24"/>
                <w:szCs w:val="24"/>
                <w:bdr w:val="none" w:color="auto" w:sz="0" w:space="0"/>
              </w:rPr>
              <w:t>税号：</w:t>
            </w:r>
          </w:p>
        </w:tc>
      </w:tr>
    </w:tbl>
    <w:p w14:paraId="51CBF1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68A2CA1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7A9283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50DF7A3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300048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bdr w:val="none" w:color="auto" w:sz="0" w:space="0"/>
        </w:rPr>
        <w:t> </w:t>
      </w:r>
    </w:p>
    <w:p w14:paraId="549934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bookmarkStart w:id="995" w:name="_Toc22441"/>
      <w:bookmarkStart w:id="996" w:name="_Toc4935"/>
      <w:r>
        <w:rPr>
          <w:rFonts w:hint="eastAsia" w:ascii="黑体" w:hAnsi="宋体" w:eastAsia="黑体" w:cs="黑体"/>
          <w:color w:val="000000"/>
          <w:sz w:val="32"/>
          <w:szCs w:val="32"/>
        </w:rPr>
        <w:br w:type="page"/>
      </w:r>
      <w:r>
        <w:rPr>
          <w:rFonts w:hint="eastAsia" w:ascii="黑体" w:hAnsi="宋体" w:eastAsia="黑体" w:cs="黑体"/>
          <w:color w:val="000000"/>
          <w:sz w:val="32"/>
          <w:szCs w:val="32"/>
        </w:rPr>
        <w:t> </w:t>
      </w:r>
      <w:bookmarkEnd w:id="995"/>
      <w:bookmarkEnd w:id="996"/>
    </w:p>
    <w:p w14:paraId="38E326CC">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eastAsia" w:ascii="黑体" w:hAnsi="宋体" w:eastAsia="黑体" w:cs="黑体"/>
          <w:color w:val="000000"/>
          <w:sz w:val="28"/>
          <w:szCs w:val="28"/>
        </w:rPr>
        <w:t>附件八 发包人、承包人协调程序</w:t>
      </w:r>
    </w:p>
    <w:p w14:paraId="27A5EB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r>
        <w:rPr>
          <w:rFonts w:hint="default" w:ascii="Calibri" w:hAnsi="Calibri" w:cs="Calibri"/>
          <w:color w:val="000000"/>
          <w:sz w:val="28"/>
          <w:szCs w:val="28"/>
        </w:rPr>
        <w:t>目录</w:t>
      </w:r>
    </w:p>
    <w:p w14:paraId="0AF9A2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736C2B6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一、工程总承包管理组织</w:t>
      </w:r>
    </w:p>
    <w:p w14:paraId="1C2DCE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二、项目管理通讯联络程序</w:t>
      </w:r>
    </w:p>
    <w:p w14:paraId="712F666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三、工程款支付签审程序</w:t>
      </w:r>
    </w:p>
    <w:p w14:paraId="470822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xml:space="preserve">四、工程结算与范围变更程序 </w:t>
      </w:r>
    </w:p>
    <w:p w14:paraId="21EEC0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五、工程施工（非主体工程、非关键工作）分包招标管理程序</w:t>
      </w:r>
    </w:p>
    <w:p w14:paraId="110EDA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六、工程设备分包管理程序</w:t>
      </w:r>
    </w:p>
    <w:p w14:paraId="100B13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七、技术文件审查程序</w:t>
      </w:r>
    </w:p>
    <w:p w14:paraId="64E1381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八、工作联系单管理制度</w:t>
      </w:r>
    </w:p>
    <w:p w14:paraId="2F1FA0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九、施工图设计技术交底与图纸会审制度</w:t>
      </w:r>
    </w:p>
    <w:p w14:paraId="7A4144F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xml:space="preserve">十、设计变更管理制度 </w:t>
      </w:r>
    </w:p>
    <w:p w14:paraId="7C8CC6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十一、工程质量检查与验收制度</w:t>
      </w:r>
    </w:p>
    <w:p w14:paraId="239BFF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firstLine="400"/>
      </w:pPr>
      <w:r>
        <w:rPr>
          <w:bdr w:val="none" w:color="auto" w:sz="0" w:space="0"/>
        </w:rPr>
        <w:t> </w:t>
      </w:r>
    </w:p>
    <w:p w14:paraId="68EE8D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rPr>
        <w:br w:type="page"/>
      </w:r>
      <w:r>
        <w:rPr>
          <w:rFonts w:hint="default" w:ascii="Calibri" w:hAnsi="Calibri" w:cs="Calibri"/>
          <w:color w:val="000000"/>
          <w:sz w:val="24"/>
          <w:szCs w:val="24"/>
        </w:rPr>
        <w:t> </w:t>
      </w:r>
    </w:p>
    <w:p w14:paraId="06B30A14">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eastAsia" w:ascii="黑体" w:hAnsi="宋体" w:eastAsia="黑体" w:cs="黑体"/>
          <w:color w:val="000000"/>
          <w:sz w:val="28"/>
          <w:szCs w:val="28"/>
        </w:rPr>
        <w:t>附件八 发包人、承包人协调程序</w:t>
      </w:r>
    </w:p>
    <w:p w14:paraId="29F514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rPr>
        <w:t>一、</w:t>
      </w:r>
      <w:r>
        <w:rPr>
          <w:rFonts w:hint="default" w:ascii="Calibri" w:hAnsi="Calibri" w:cs="Calibri"/>
          <w:b/>
          <w:bCs/>
          <w:color w:val="000000"/>
          <w:sz w:val="28"/>
          <w:szCs w:val="28"/>
        </w:rPr>
        <w:t>工程总承包管理组织</w:t>
      </w:r>
    </w:p>
    <w:p w14:paraId="382A04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rPr>
          <w:bdr w:val="none" w:color="auto" w:sz="0" w:space="0"/>
        </w:rPr>
        <w:t> </w:t>
      </w:r>
    </w:p>
    <w:p w14:paraId="2BCEB6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1. 承包人组织机构</w:t>
      </w:r>
    </w:p>
    <w:p w14:paraId="41E951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084DE5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bookmarkStart w:id="997" w:name="_Toc330226217"/>
      <w:bookmarkStart w:id="998" w:name="_Toc270676613"/>
      <w:bookmarkStart w:id="999" w:name="_Toc260869316"/>
      <w:bookmarkStart w:id="1000" w:name="_Toc183273797"/>
      <w:bookmarkStart w:id="1001" w:name="_Toc124391622"/>
      <w:bookmarkStart w:id="1002" w:name="_Toc227334177"/>
      <w:bookmarkStart w:id="1003" w:name="_Toc227222011"/>
      <w:bookmarkStart w:id="1004" w:name="_Toc197859273"/>
      <w:bookmarkStart w:id="1005" w:name="_Toc270676614"/>
      <w:r>
        <w:rPr>
          <w:rFonts w:hint="eastAsia" w:ascii="宋体" w:hAnsi="宋体" w:eastAsia="宋体" w:cs="宋体"/>
          <w:color w:val="000000"/>
          <w:sz w:val="24"/>
          <w:szCs w:val="24"/>
        </w:rPr>
        <w:drawing>
          <wp:inline distT="0" distB="0" distL="114300" distR="114300">
            <wp:extent cx="5438775" cy="3514725"/>
            <wp:effectExtent l="0" t="0" r="9525"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5438775" cy="3514725"/>
                    </a:xfrm>
                    <a:prstGeom prst="rect">
                      <a:avLst/>
                    </a:prstGeom>
                    <a:noFill/>
                    <a:ln w="9525">
                      <a:noFill/>
                    </a:ln>
                  </pic:spPr>
                </pic:pic>
              </a:graphicData>
            </a:graphic>
          </wp:inline>
        </w:drawing>
      </w:r>
      <w:bookmarkEnd w:id="997"/>
      <w:bookmarkEnd w:id="998"/>
      <w:bookmarkEnd w:id="999"/>
      <w:bookmarkEnd w:id="1000"/>
      <w:bookmarkEnd w:id="1001"/>
      <w:bookmarkEnd w:id="1002"/>
      <w:bookmarkEnd w:id="1003"/>
      <w:bookmarkEnd w:id="1004"/>
      <w:bookmarkEnd w:id="1005"/>
    </w:p>
    <w:p w14:paraId="37B6C37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4714AC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（经发包人现场代表或监理人同意后，本组织机构可予适当调整</w:t>
      </w:r>
      <w:r>
        <w:rPr>
          <w:rFonts w:hint="default" w:ascii="Times New Roman" w:hAnsi="Times New Roman" w:cs="Times New Roman"/>
          <w:color w:val="000000"/>
          <w:sz w:val="24"/>
          <w:szCs w:val="24"/>
        </w:rPr>
        <w:t>）</w:t>
      </w:r>
    </w:p>
    <w:p w14:paraId="2F3BCF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24"/>
          <w:szCs w:val="24"/>
        </w:rPr>
        <w:t>2.  承包人工程项目部职责和责任</w:t>
      </w:r>
    </w:p>
    <w:p w14:paraId="21E8664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24"/>
          <w:szCs w:val="24"/>
        </w:rPr>
        <w:t>2.1项目部工作职责</w:t>
      </w:r>
    </w:p>
    <w:p w14:paraId="42E213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（1）代表承包人实施项目管理。履行合同规定的承包人责任和义务，遵守相关法律法规、方针、政策和强制性标准，执行承包人的管理制度；</w:t>
      </w:r>
    </w:p>
    <w:p w14:paraId="123C3C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（2）负责全面履行“项目管理目标责任书”规定的任务；</w:t>
      </w:r>
    </w:p>
    <w:p w14:paraId="107371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（3）负责编制项目管理、实施计划并组织实施；</w:t>
      </w:r>
    </w:p>
    <w:p w14:paraId="11FD13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（4）负责对设计、设备材料采购、施工、调试的各阶段进行优化配置和动态管理，按时、真实地向发包人提交项目月报和发包人要求的其他动态报告，在项目实施过程中自觉接受发包人的监督和检查；</w:t>
      </w:r>
    </w:p>
    <w:p w14:paraId="30D4B1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（5）根据发包人、承包人质量管理体系和HSE管理体系制订项目质量管理和HSE管理措施并组织实施；</w:t>
      </w:r>
    </w:p>
    <w:p w14:paraId="76B0E15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（6）负责项目建设各阶段的质量、进度、费用管理，对设计、设备材料采购、施工、调试实施全过程的动态管理；</w:t>
      </w:r>
    </w:p>
    <w:p w14:paraId="35307E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（7）负责与承包人各职能部门、各分包人、发包人的协调，解决项目中出现的问题；</w:t>
      </w:r>
    </w:p>
    <w:p w14:paraId="37167F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（8）负责施工现场文明施工管理，发现和处理突发事件；</w:t>
      </w:r>
    </w:p>
    <w:p w14:paraId="23F102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（9）负责组织工程竣工验收，准备结算资料；</w:t>
      </w:r>
    </w:p>
    <w:p w14:paraId="128C18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（10）负责竣工资料的整理、移交；</w:t>
      </w:r>
    </w:p>
    <w:p w14:paraId="0409CF8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（11）完成项目总结，接受承包人内部职能部门的项目审计。</w:t>
      </w:r>
    </w:p>
    <w:p w14:paraId="3D8E0D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24"/>
          <w:szCs w:val="24"/>
        </w:rPr>
        <w:t>2.2 </w:t>
      </w:r>
      <w:r>
        <w:rPr>
          <w:rFonts w:hint="default" w:ascii="Calibri" w:hAnsi="Calibri" w:cs="Calibri"/>
          <w:color w:val="000000"/>
          <w:sz w:val="24"/>
          <w:szCs w:val="24"/>
        </w:rPr>
        <w:t>项目总负责人职责：</w:t>
      </w:r>
    </w:p>
    <w:p w14:paraId="0D46280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（1）在工程项目中，代表承包人与发包人联系，在招标文件及合同文件规定的范围内对工程的实施管理全面负责，维护本单位的信誉和利益，严格履行合同或协议；</w:t>
      </w:r>
    </w:p>
    <w:p w14:paraId="5D869E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（2）负责组建项目组织机构，任命（选定）项目部主要成员，有效地开展项目工作；</w:t>
      </w:r>
    </w:p>
    <w:p w14:paraId="5659DD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（3）确定项目实施的基本工作方法和程序，编制项目计划，明确项目的总目标和阶段目标，进行目标分解使各项工作协调进行，确保项目建设按合同要求完成；</w:t>
      </w:r>
    </w:p>
    <w:p w14:paraId="2047C80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（4）拟定与发包人、监理、分包单位以及公司内、外各协作部门和单位的协调程序，建立其协调关系，为项目实施创造良好的工作环境；</w:t>
      </w:r>
    </w:p>
    <w:p w14:paraId="57BC48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（5）组织建立和完善项目部内部及对外信息管理系统，包括会议和报告制度，保证信息交流畅通；</w:t>
      </w:r>
    </w:p>
    <w:p w14:paraId="44661C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（6）依据承包人和分包人合同，处理发包人与承包人及承包人与分包人在执行合同中的变更、纠纷、索赔等事宜；</w:t>
      </w:r>
    </w:p>
    <w:p w14:paraId="607F3A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（7）负责依据合同的条款（质量，进度，付款，安全等条款），对项目进行跟踪管理；</w:t>
      </w:r>
    </w:p>
    <w:p w14:paraId="213B6A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（8）负责监控工程项目管理过程，确认计划、实施、检查、处理建议的持续改进；</w:t>
      </w:r>
    </w:p>
    <w:p w14:paraId="583103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（9）负责分析和控制项目的各类潜在风险；</w:t>
      </w:r>
    </w:p>
    <w:p w14:paraId="190458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（10）负责协调设计、施工、设备材料供应、财务等方面之间的关系，解决施工中出现的问题，确保工程顺利完成；</w:t>
      </w:r>
    </w:p>
    <w:p w14:paraId="2A1C991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（11）负责对重大设计变更的方案和费用进行确认和报批；全面记录变更内容理由、成本影响分析、变更涉及有关资料；</w:t>
      </w:r>
    </w:p>
    <w:p w14:paraId="60B20A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（12）负责组织工程竣工验收和交付工作：负责组织竣工验收、协调工程遗留问题的解决、办理工程竣工资料的收集和移交等工作；</w:t>
      </w:r>
    </w:p>
    <w:p w14:paraId="576DA4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（13）负责审查施工组织总设计、技术措施和安全措施；</w:t>
      </w:r>
    </w:p>
    <w:p w14:paraId="0B97D26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（14）负责施工安全措施的检查监督工作；</w:t>
      </w:r>
    </w:p>
    <w:p w14:paraId="16BE9C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（15）参与工程重大安全事故或重大质量事故的调查、分析；</w:t>
      </w:r>
    </w:p>
    <w:p w14:paraId="53E33B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（16）定期向发包人、承包人领导和有关部门汇报工程进展情况和项目中存在的重大问题，例如项目的建设条件、各部门之间需要协调以及各项控制指标需要调整等问题，以便于工作及时处理和解决；</w:t>
      </w:r>
    </w:p>
    <w:p w14:paraId="4ED30F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（17）工程竣工后，组织做好工程交工、性能考核、竣工结算等工作，取得发包人的正式验收文件；</w:t>
      </w:r>
    </w:p>
    <w:p w14:paraId="7F06C2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（18）项目结束时对项目组成员提出考评意见，组织做好项目工作总结和文件、资料的整理归档工作；总结成功的经验、存在的问题和对今后工作的建议，为公司积累有益的经验和资料。</w:t>
      </w:r>
    </w:p>
    <w:p w14:paraId="520C61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24"/>
          <w:szCs w:val="24"/>
        </w:rPr>
        <w:t>2.3 </w:t>
      </w:r>
      <w:r>
        <w:rPr>
          <w:rFonts w:hint="default" w:ascii="Calibri" w:hAnsi="Calibri" w:cs="Calibri"/>
          <w:color w:val="000000"/>
          <w:sz w:val="24"/>
          <w:szCs w:val="24"/>
        </w:rPr>
        <w:t>项目现场负责人职责：</w:t>
      </w:r>
    </w:p>
    <w:p w14:paraId="7444F2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（1）在项目总负责人的领导下，全面负责工程项目的施工生产、安全、质量及工程进度，按照施工组织总设计，进行施工组织安排，落实各项工作，向项目总负责人负责；</w:t>
      </w:r>
    </w:p>
    <w:p w14:paraId="2A0C3E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（2）及时解决生产和管理中发现的问题，协调和发挥各职能部门的作用，确保安全生产和文明施工；</w:t>
      </w:r>
    </w:p>
    <w:p w14:paraId="7299B48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（3）全面负责质量体系、环境和职业健康安全管理体系要素中的主控项目的各项工作；确保质量、环境和职业健康安全满足顾客、社会和员工的要求；</w:t>
      </w:r>
    </w:p>
    <w:p w14:paraId="7BC2D8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（4）及时分析、总结生产管理中的经验和教训，不断提高生产管理水平；</w:t>
      </w:r>
    </w:p>
    <w:p w14:paraId="15C0DF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（5）负责协调解决体系运行出现的问题；</w:t>
      </w:r>
    </w:p>
    <w:p w14:paraId="7243EAE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（6）协调与发包人、监理及各分包人之间的关系；</w:t>
      </w:r>
    </w:p>
    <w:p w14:paraId="1B8AB0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（7）根据合同要求，参与编制与下达年、季、月度施工生产计划，并组织实施；</w:t>
      </w:r>
    </w:p>
    <w:p w14:paraId="3FEC25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（8）定期向项目总经理或总公司领导报告质量、安全管理体系运行情况；</w:t>
      </w:r>
    </w:p>
    <w:p w14:paraId="1BD77D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（9）认真落实施工组织设计中的各项措施，严格执行各项管理制度；</w:t>
      </w:r>
    </w:p>
    <w:p w14:paraId="424D19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（10）如发生事故，应及时上报，组织保护好现场，做好抢救工作，积极配合调查，认真落实纠正和预防措施。</w:t>
      </w:r>
    </w:p>
    <w:p w14:paraId="53E476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rPr>
        <w:t>2.4项目技术负责人职责：</w:t>
      </w:r>
    </w:p>
    <w:p w14:paraId="556242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（1）组织贯彻执行公司质量管理体系文件保证其有效性，严格执行国家颁布的有关行业标准、规程、规范、质量标准；</w:t>
      </w:r>
    </w:p>
    <w:p w14:paraId="560926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（2）负责工程现场的技术和质量管理工作；</w:t>
      </w:r>
    </w:p>
    <w:p w14:paraId="6AE9D3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（3）负责组织审核设计文件，组织解决施工过程中发现的重大疑难问题；</w:t>
      </w:r>
    </w:p>
    <w:p w14:paraId="7AB65D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（4）负责组织编制施工组织总设计，按规定报批后组织实施；</w:t>
      </w:r>
    </w:p>
    <w:p w14:paraId="27E587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（5）定期不定期组织召开工程质量会议，分析工程质量情况；</w:t>
      </w:r>
    </w:p>
    <w:p w14:paraId="3376FB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（6）按时向有关方提报施工现场的各类生产信息报表、材料用料计划；</w:t>
      </w:r>
    </w:p>
    <w:p w14:paraId="33D0B0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（7）参与重大质量事故的调查、分析、处理工作；</w:t>
      </w:r>
    </w:p>
    <w:p w14:paraId="2D5CC5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（8）参与项目部内部成本财务分析，参与分包方工程款的结算工作。</w:t>
      </w:r>
    </w:p>
    <w:p w14:paraId="725BA2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（9）组织做好相关技术文件的编制、收集整理工作，组织编写施工技术总结，组织竣工文件的编制工作。</w:t>
      </w:r>
    </w:p>
    <w:p w14:paraId="6634958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（10）负责组织项目部的技术交流、专题研讨会和对外的技术交流活动。</w:t>
      </w:r>
    </w:p>
    <w:p w14:paraId="4694AB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rPr>
        <w:t>2.5项目综合管理部职责：</w:t>
      </w:r>
    </w:p>
    <w:p w14:paraId="6F91C7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（1）贯彻执行党和国家的方针、政策、法律法规及上级有关指示精神。按照公司管理体系文件以及项目部各项管理制度和办法，负责本项目综合管理部管理职能；监督检查项目部各项内部管理制度的实施；</w:t>
      </w:r>
    </w:p>
    <w:p w14:paraId="6A5FDF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（2）在项目部领导下，负责协调与地方政府和各相关部门的关系，协助处理综合性的日常管理工作；</w:t>
      </w:r>
    </w:p>
    <w:p w14:paraId="6744F9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（3）负责项目部行政、现场宣传、文秘、人事、劳资及后勤保障等工作；</w:t>
      </w:r>
    </w:p>
    <w:p w14:paraId="6D5243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（4）负责现场与公司本部的联系，人员的调动；</w:t>
      </w:r>
    </w:p>
    <w:p w14:paraId="40E0EE7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（5）负责管理好印鉴，做好审批、用章登记制度；</w:t>
      </w:r>
    </w:p>
    <w:p w14:paraId="2EEE7D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xml:space="preserve">（6）负责文件的收发、登记、传阅和归档立卷工作； </w:t>
      </w:r>
    </w:p>
    <w:p w14:paraId="1C5A4D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（7）负责项目部办公用品、劳保用品的计划、采购、登记、发放的管理工作；</w:t>
      </w:r>
    </w:p>
    <w:p w14:paraId="3212D7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（8）负责车辆管理、保养、调度、安全，保证生产用车以及办理固定资产的登记、领用、调拨、报废等事宜；</w:t>
      </w:r>
    </w:p>
    <w:p w14:paraId="47973F4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（9）负责外来办事人员的接待工作；负责信访工作；</w:t>
      </w:r>
    </w:p>
    <w:p w14:paraId="14B5ED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（10）负责项目部办公生活用水、用电、职工食堂、住宿和医疗卫生的管理工作；</w:t>
      </w:r>
    </w:p>
    <w:p w14:paraId="644802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（11）负责项目部生活及安全保卫工作；</w:t>
      </w:r>
    </w:p>
    <w:p w14:paraId="02F980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（12）完成领导交办的其他工作。</w:t>
      </w:r>
    </w:p>
    <w:p w14:paraId="6A82D6B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rPr>
        <w:t>2.6项目控制部职责：</w:t>
      </w:r>
    </w:p>
    <w:p w14:paraId="0971CE5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（1）熟悉并严格遵守国家有关法律法规及项目部各项管理制度；</w:t>
      </w:r>
    </w:p>
    <w:p w14:paraId="5746DA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（2）负责本项目进度计划、费用计划的编制；审核各分包人进度、费用计划；协调解决工程进度计划上存在的问题；</w:t>
      </w:r>
    </w:p>
    <w:p w14:paraId="3F0424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（3）负责对本项目进度、费用材料进行综合有效的控制；</w:t>
      </w:r>
    </w:p>
    <w:p w14:paraId="1DA93E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（4）负责项目变更（发包人变更）的估算编制和经济分析，审查变更对项目控制的影响；</w:t>
      </w:r>
    </w:p>
    <w:p w14:paraId="02CBF4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（5）负责审核施工分包人编制的工程预算和工程变更预算以及完工后的结算；</w:t>
      </w:r>
    </w:p>
    <w:p w14:paraId="1BCA8D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（6）负责各类统计报表的编制和台账的建立；</w:t>
      </w:r>
    </w:p>
    <w:p w14:paraId="6DE43D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（7）根据合同要求，检查和督促合同各方履行合同，确保合同工期、质量标准及安全   指标的实现；</w:t>
      </w:r>
    </w:p>
    <w:p w14:paraId="1B6FE1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（8）负责整理本部门竣工验收资料。</w:t>
      </w:r>
    </w:p>
    <w:p w14:paraId="7D4F4E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rPr>
        <w:t>2.7项目工程部职责：</w:t>
      </w:r>
    </w:p>
    <w:p w14:paraId="494FE8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（1）按照院质量管理体系文件及项目部制定的各项管理制度和办法对工程进度、工程质量进行控制，确保各项目标按期高效完成；</w:t>
      </w:r>
    </w:p>
    <w:p w14:paraId="0E57061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（2）组织协调各施工分包人开展施工生产活动；</w:t>
      </w:r>
    </w:p>
    <w:p w14:paraId="32D3BD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（3）组织开展工程质量控制活动，签署有关质量确认文件；</w:t>
      </w:r>
    </w:p>
    <w:p w14:paraId="2F88AB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（4）按规定程序进行各类技术文件的管理；</w:t>
      </w:r>
    </w:p>
    <w:p w14:paraId="122C39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（5）监督施工分包人按照合同规定施工，确保施工质量和施工进度；</w:t>
      </w:r>
    </w:p>
    <w:p w14:paraId="742270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（6）负责施工技术的管理工作；</w:t>
      </w:r>
    </w:p>
    <w:p w14:paraId="04FCA6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（7）做好工程项目的施工总结，积累施工技术与施工管理的经验；</w:t>
      </w:r>
    </w:p>
    <w:p w14:paraId="6C09A27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（8）负责机组调试的管理工作；</w:t>
      </w:r>
    </w:p>
    <w:p w14:paraId="1074A1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（9）接受院与有关部门的业务指导。</w:t>
      </w:r>
    </w:p>
    <w:p w14:paraId="320CDC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rPr>
        <w:t>2.8项目采购部职责：</w:t>
      </w:r>
    </w:p>
    <w:p w14:paraId="115D70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（1）按照院总承包质量管理体系文件以及项目部各项管理制度和办法，确保其有效运行；</w:t>
      </w:r>
    </w:p>
    <w:p w14:paraId="3C9062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（2）保质保量按时完成本职工作及领导交代的各项任务；</w:t>
      </w:r>
    </w:p>
    <w:p w14:paraId="1D5A74F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（3）建立设备物资设备信息库，及时提供设备到货情况；</w:t>
      </w:r>
    </w:p>
    <w:p w14:paraId="0CC54F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（4）负责项目物资供应的管理工作，根据工程进度，负责设备制造商设计资料的催交，设备监造、设备开箱和清点、设备催交、检验、运输，落实到位；</w:t>
      </w:r>
    </w:p>
    <w:p w14:paraId="11A841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（5）与工程部、控制部等相关部门交流经验，密切合作，做到事前预计、事中配合、事后反馈；负责设备缺陷厂家的联系处理；</w:t>
      </w:r>
    </w:p>
    <w:p w14:paraId="665C9C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（6）负责设备备品备件的移交；</w:t>
      </w:r>
    </w:p>
    <w:p w14:paraId="13FA7B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（7）做好资料收集整理、汇总、存档等工作，确保真实完整地反映物资供应的全过程。</w:t>
      </w:r>
    </w:p>
    <w:p w14:paraId="125BEA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rPr>
        <w:t>2.9质安健环部职责：</w:t>
      </w:r>
    </w:p>
    <w:p w14:paraId="16A3D47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认真贯彻执行国家有关安全生产、消防保卫和环境保护的方针、政策、法令、法规和上级有关规定，协助项目总经理和项目副总经理组织和推动施工中的安全工作。负责做好现场安全监督、消防保卫、文明施工和环境保护管理工作；</w:t>
      </w:r>
    </w:p>
    <w:p w14:paraId="6BB2B2D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（2）负责项目安全与健康、文明施工、环境保护、消防保卫等各项管理制度的制定，经审批后组织贯彻落实；</w:t>
      </w:r>
    </w:p>
    <w:p w14:paraId="3AB535F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（3）负责监督各分包人安全文明施工、环境保护、消防保卫管理工作的正常开展；</w:t>
      </w:r>
    </w:p>
    <w:p w14:paraId="5541DC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（4）负责施工组织设计、重大施工项目、危险性作业以及特殊作业的安全措施的审查，审查安全施工作业票，并监督其的执行；</w:t>
      </w:r>
    </w:p>
    <w:p w14:paraId="3CD071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（5）参加现场生产调度会，通报安全文明施工情况，并协调解决存在的问题，协助领导定期或不定期组织安全大检查，对查出的问题督促责任单位按照“三定”（定项目、定责任人、定时间）原则整改；</w:t>
      </w:r>
    </w:p>
    <w:p w14:paraId="22B7C66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（6）经常深入施工现场，掌握安全施工动态，及时解决安全问题。制止和处罚“三违”（违章作业、违章指挥、违反劳动纪律）现象；</w:t>
      </w:r>
    </w:p>
    <w:p w14:paraId="68B550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（7）根据现场施工情况，责令施工分包人采取相应的安全措施，及时制止危及人身和设备安全的施工，并报告主管领导研究处理；</w:t>
      </w:r>
    </w:p>
    <w:p w14:paraId="1B962A7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（8）协助项目副总经理组织召开项目施工安全管理委员会，并组织召开工作例会；做好会议记录，整理其会议纪要；</w:t>
      </w:r>
    </w:p>
    <w:p w14:paraId="290D791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（9）负责组织安全监督（消防保卫）活动，定期（每周）组织各分包人安全（保卫）专业人员会议，及时协调解决现场安全文明施工（消防保卫）存在的问题，并做好会议记录，整理其纪要；</w:t>
      </w:r>
    </w:p>
    <w:p w14:paraId="295A09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（10）负责审查各分包人的安全资质，督促各分包人贯彻落实各项安全管理制度和措施，督促分包人的日常安全管理工作；</w:t>
      </w:r>
    </w:p>
    <w:p w14:paraId="7118ECD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（11）参加各分包人重伤及以上事故的调查、分析及处理，负责各类事故的统计、分析和及时上报工作；</w:t>
      </w:r>
    </w:p>
    <w:p w14:paraId="6E8C59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（12）按《工程月报编制办法》提交安全月报；</w:t>
      </w:r>
    </w:p>
    <w:p w14:paraId="573F83F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（13）负责做好本工程项目的施工安全保卫工作总结，积累施工安全与保卫管理的经验；</w:t>
      </w:r>
    </w:p>
    <w:p w14:paraId="39112B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（14）按规定负责组织、整理竣工验收的资料收集和汇总；</w:t>
      </w:r>
    </w:p>
    <w:p w14:paraId="3E30583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（15）负责建立并保持与地方政府相关职能部门的工作联络。</w:t>
      </w:r>
    </w:p>
    <w:p w14:paraId="21CE5F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rPr>
        <w:t>2.10项目财务部职责：</w:t>
      </w:r>
    </w:p>
    <w:p w14:paraId="2FD8FA8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（1）认真贯彻执行国家财经政策和各项管理制度，负责工程项目的财务管理和会计核算工作；</w:t>
      </w:r>
    </w:p>
    <w:p w14:paraId="05B54B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（2）负责工程项目部的日常会计结算，按年、季、月编制各种财务会计报表，分析工程财务状况；</w:t>
      </w:r>
    </w:p>
    <w:p w14:paraId="6C8CBC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（3）根据费用控制人员审核的工程结算单和批准后的付款计划，办理小额设备、材料付款和建安工程费付款手续；</w:t>
      </w:r>
    </w:p>
    <w:p w14:paraId="7FBD535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（4）在物资部的配合下，办理收款手续；</w:t>
      </w:r>
    </w:p>
    <w:p w14:paraId="707454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（5）加强工程资金管理，监督工程资金使用情况，将工程费用的实际开支按月反馈给费用控制人员，防止工程费失控；</w:t>
      </w:r>
    </w:p>
    <w:p w14:paraId="591CD8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（6）负责工程税务工作，做好税收代扣代缴；</w:t>
      </w:r>
    </w:p>
    <w:p w14:paraId="79C655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（7）负责办理工程竣工后的财务竣工结算；</w:t>
      </w:r>
    </w:p>
    <w:p w14:paraId="6233DBD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（8）按规定负责组织、整理竣工验收的资料收集和汇总。</w:t>
      </w:r>
      <w:r>
        <w:rPr>
          <w:rFonts w:hint="default" w:ascii="Calibri" w:hAnsi="Calibri" w:cs="Calibri"/>
          <w:b/>
          <w:bCs/>
          <w:color w:val="000000"/>
          <w:sz w:val="28"/>
          <w:szCs w:val="28"/>
        </w:rPr>
        <w:br w:type="page"/>
      </w:r>
      <w:r>
        <w:rPr>
          <w:rFonts w:hint="default" w:ascii="Calibri" w:hAnsi="Calibri" w:cs="Calibri"/>
          <w:b/>
          <w:bCs/>
          <w:color w:val="000000"/>
          <w:sz w:val="28"/>
          <w:szCs w:val="28"/>
        </w:rPr>
        <w:t> </w:t>
      </w:r>
    </w:p>
    <w:p w14:paraId="6D8DA56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Calibri" w:hAnsi="Calibri" w:cs="Calibri"/>
          <w:b/>
          <w:bCs/>
          <w:color w:val="000000"/>
          <w:sz w:val="28"/>
          <w:szCs w:val="28"/>
        </w:rPr>
        <w:t>二、项目管理通讯联络程序</w:t>
      </w:r>
    </w:p>
    <w:p w14:paraId="51869B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1.通讯联络方式</w:t>
      </w:r>
    </w:p>
    <w:p w14:paraId="22C9ED3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06" w:name="_Toc79760430"/>
      <w:r>
        <w:rPr>
          <w:rFonts w:hint="default" w:ascii="Calibri" w:hAnsi="Calibri" w:cs="Calibri"/>
          <w:color w:val="000000"/>
          <w:sz w:val="24"/>
          <w:szCs w:val="24"/>
        </w:rPr>
        <w:t>1.1 电话：只作为项目管理一般性事务联络，如：一般性的协调、通知、信息交流。</w:t>
      </w:r>
      <w:bookmarkEnd w:id="1006"/>
    </w:p>
    <w:p w14:paraId="336FC25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07" w:name="_Toc79760431"/>
      <w:r>
        <w:rPr>
          <w:rFonts w:hint="default" w:ascii="Calibri" w:hAnsi="Calibri" w:cs="Calibri"/>
          <w:color w:val="000000"/>
          <w:sz w:val="24"/>
          <w:szCs w:val="24"/>
        </w:rPr>
        <w:t>1.2 传真：可作为公文、会议通知、技术文件等信息交流，可作为有效文件的交流方式。重要的文件必须有接收传真文件的回复，并且有正本备份。</w:t>
      </w:r>
      <w:bookmarkEnd w:id="1007"/>
    </w:p>
    <w:p w14:paraId="2D74FF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08" w:name="_Toc79760432"/>
      <w:r>
        <w:rPr>
          <w:rFonts w:hint="default" w:ascii="Calibri" w:hAnsi="Calibri" w:cs="Calibri"/>
          <w:color w:val="000000"/>
          <w:sz w:val="24"/>
          <w:szCs w:val="24"/>
        </w:rPr>
        <w:t>1.3 E-mail电子邮件</w:t>
      </w:r>
      <w:bookmarkEnd w:id="1008"/>
    </w:p>
    <w:p w14:paraId="5BFDDF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可作为技术文件、资料等文件的信息交流的中间文件，不能作为合同的有效文件。</w:t>
      </w:r>
    </w:p>
    <w:p w14:paraId="6AC020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09" w:name="_Toc79760433"/>
      <w:r>
        <w:rPr>
          <w:rFonts w:hint="default" w:ascii="Calibri" w:hAnsi="Calibri" w:cs="Calibri"/>
          <w:color w:val="000000"/>
          <w:sz w:val="24"/>
          <w:szCs w:val="24"/>
        </w:rPr>
        <w:t>1.4 邮寄</w:t>
      </w:r>
      <w:bookmarkEnd w:id="1009"/>
    </w:p>
    <w:p w14:paraId="0E264A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可作为正式的、有效文件的传递方式。</w:t>
      </w:r>
    </w:p>
    <w:p w14:paraId="663A63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10" w:name="_Toc79760434"/>
      <w:r>
        <w:rPr>
          <w:rFonts w:hint="default" w:ascii="Calibri" w:hAnsi="Calibri" w:cs="Calibri"/>
          <w:color w:val="000000"/>
          <w:sz w:val="24"/>
          <w:szCs w:val="24"/>
        </w:rPr>
        <w:t>1.5 现场专人传递</w:t>
      </w:r>
      <w:bookmarkEnd w:id="1010"/>
    </w:p>
    <w:p w14:paraId="40708F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可作为现场项目管理所有文件的传递方式。</w:t>
      </w:r>
    </w:p>
    <w:p w14:paraId="3ADEE9A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2.项目通讯联络图及通讯联络手册</w:t>
      </w:r>
    </w:p>
    <w:p w14:paraId="496E1E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建立现场项目通讯联络图和通讯联络手册，以方便各方进行通讯与联络。</w:t>
      </w:r>
    </w:p>
    <w:p w14:paraId="2A661A0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3.各类文件传递程序</w:t>
      </w:r>
    </w:p>
    <w:p w14:paraId="793AEF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11" w:name="_Toc79760435"/>
      <w:r>
        <w:rPr>
          <w:rFonts w:hint="default" w:ascii="Calibri" w:hAnsi="Calibri" w:cs="Calibri"/>
          <w:color w:val="000000"/>
          <w:sz w:val="24"/>
          <w:szCs w:val="24"/>
        </w:rPr>
        <w:t>3.1 公文传递程序</w:t>
      </w:r>
      <w:bookmarkEnd w:id="1011"/>
    </w:p>
    <w:p w14:paraId="7E434A2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自承包人发向发包人方的公文、会议纪要、通知、技术文件等由承包人相关部门负责文件处理，交综合办公室发向发包人方。</w:t>
      </w:r>
    </w:p>
    <w:p w14:paraId="78C802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自发包人方发向承包人的公文，首先发向承包人综合办公室，由承包人综合办公室负责文件处理，再发向各相关部门及分包人。</w:t>
      </w:r>
    </w:p>
    <w:p w14:paraId="5F70248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bookmarkStart w:id="1012" w:name="_Toc330226219"/>
      <w:bookmarkStart w:id="1013" w:name="_Toc79760436"/>
      <w:bookmarkStart w:id="1014" w:name="_Toc332275450"/>
      <w:r>
        <w:rPr>
          <w:rFonts w:hint="default" w:ascii="Calibri" w:hAnsi="Calibri" w:cs="Calibri"/>
          <w:b/>
          <w:bCs/>
          <w:color w:val="000000"/>
          <w:sz w:val="28"/>
          <w:szCs w:val="28"/>
        </w:rPr>
        <w:t>三、工程款支付签审程序</w:t>
      </w:r>
      <w:bookmarkEnd w:id="1012"/>
      <w:bookmarkEnd w:id="1013"/>
      <w:bookmarkEnd w:id="1014"/>
    </w:p>
    <w:p w14:paraId="4D765F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1.工程款项的签审支付，以发包人和承包人所签订的《【   】</w:t>
      </w:r>
      <w:r>
        <w:rPr>
          <w:rFonts w:hint="default" w:ascii="Calibri" w:hAnsi="Calibri" w:cs="Calibri"/>
          <w:color w:val="000000"/>
          <w:sz w:val="24"/>
          <w:szCs w:val="24"/>
          <w:u w:val="single"/>
        </w:rPr>
        <w:t>EPC总承包合同）</w:t>
      </w:r>
      <w:r>
        <w:rPr>
          <w:rFonts w:hint="default" w:ascii="Calibri" w:hAnsi="Calibri" w:cs="Calibri"/>
          <w:color w:val="000000"/>
          <w:sz w:val="24"/>
          <w:szCs w:val="24"/>
        </w:rPr>
        <w:t>》及所有承包人与分包单位签订的合同为依据。</w:t>
      </w:r>
    </w:p>
    <w:p w14:paraId="1C1BE02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 承包人应每月编制当月实际完成工程量及当月里程碑月进度付款（简称“阶段付款”）的月实际进度详细报告。</w:t>
      </w:r>
    </w:p>
    <w:p w14:paraId="5FCA6A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 付款申请</w:t>
      </w:r>
    </w:p>
    <w:p w14:paraId="7162DD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承包人应按合同规定填报应收款额的阶段付款申请，并将支持文件提交发包人，一式六份。</w:t>
      </w:r>
    </w:p>
    <w:p w14:paraId="687C8F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 阶段付款</w:t>
      </w:r>
    </w:p>
    <w:p w14:paraId="5F00141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发包人在收到承包人的付款申请后，在合同规定期限内向承包人支付月阶段付款，但承包人的申请付款必须符合承包合同申请付款的条件。</w:t>
      </w:r>
    </w:p>
    <w:p w14:paraId="6F8807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360"/>
      </w:pPr>
      <w:r>
        <w:rPr>
          <w:rFonts w:hint="default" w:ascii="Calibri" w:hAnsi="Calibri" w:cs="Calibri"/>
          <w:color w:val="000000"/>
          <w:sz w:val="24"/>
          <w:szCs w:val="24"/>
        </w:rPr>
        <w:t> </w:t>
      </w:r>
      <w:bookmarkStart w:id="1015" w:name="_Toc79760437"/>
      <w:r>
        <w:rPr>
          <w:rFonts w:hint="default" w:ascii="Calibri" w:hAnsi="Calibri" w:cs="Calibri"/>
          <w:color w:val="000000"/>
          <w:sz w:val="24"/>
          <w:szCs w:val="24"/>
        </w:rPr>
        <w:t>5. 发包人向承包人支付的任何付款，承包人应同时提供相应发票/收据；发包人向承包人的所有付款无须担保。</w:t>
      </w:r>
      <w:bookmarkEnd w:id="1015"/>
    </w:p>
    <w:p w14:paraId="361D1D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 最后付款</w:t>
      </w:r>
    </w:p>
    <w:p w14:paraId="423066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6.1 承包人按承包合同提供完整全面的服务达到项目完成，工程师（发包人）收到符合要求的证实合同已履行完毕的文件，在合同规定期限内把到期未付的余款（“最后付款”）支付给承包人。</w:t>
      </w:r>
    </w:p>
    <w:p w14:paraId="052708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6.2 发包人已扣留的质保金，在质保期满且发包人签订最终验收证书后30天内予以支付。</w:t>
      </w:r>
    </w:p>
    <w:p w14:paraId="32C49D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 终止时付款</w:t>
      </w:r>
    </w:p>
    <w:p w14:paraId="2DA0B31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发包人根据合同规定为发包人的便利而终止或因发包人没有付款而暂停和终止所有或部分服务时，承包人有权按合同规定得到相应付款。</w:t>
      </w:r>
    </w:p>
    <w:p w14:paraId="0A6A3F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 如承包人严重违约，发包人可按合同规定终止合同。若双方对是否严重违约有争议，应按合同规定，解决争议。</w:t>
      </w:r>
    </w:p>
    <w:p w14:paraId="694518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 发包人对承包人报来的付款申请及其支持文件，在七个工作日内进行审查和核签，所报月完成的里程碑实际进度，尚未支付的里程碑月进度付款、工程量、工程质量、价款是否符合实际情况。对有异议部分，立即协商解决。以防延误工期。</w:t>
      </w:r>
    </w:p>
    <w:p w14:paraId="62E4EE7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bookmarkStart w:id="1016" w:name="_Toc330226220"/>
      <w:bookmarkStart w:id="1017" w:name="_Toc332275451"/>
      <w:bookmarkStart w:id="1018" w:name="_Toc79760438"/>
      <w:r>
        <w:rPr>
          <w:rFonts w:hint="default" w:ascii="Calibri" w:hAnsi="Calibri" w:cs="Calibri"/>
          <w:b/>
          <w:bCs/>
          <w:color w:val="000000"/>
          <w:sz w:val="28"/>
          <w:szCs w:val="28"/>
        </w:rPr>
        <w:t>四、工程结算与范围变更程序</w:t>
      </w:r>
      <w:bookmarkEnd w:id="1016"/>
      <w:bookmarkEnd w:id="1017"/>
      <w:bookmarkEnd w:id="1018"/>
    </w:p>
    <w:p w14:paraId="1F1211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1.工程结算程序</w:t>
      </w:r>
    </w:p>
    <w:p w14:paraId="2B3F515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 承包人填写一份《项目完工申请书》，交发包人审查。</w:t>
      </w:r>
    </w:p>
    <w:p w14:paraId="49CA8AD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 发包人对《项目完工申请书》进行审查，如果有不符合要求，由承包人整改，直至合格为止。合格后由发包人向承包人签发一份《项目完工证明书》。</w:t>
      </w:r>
    </w:p>
    <w:p w14:paraId="36ED688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 在取得《项目完工证明书》后30天内，承包人向发包人提交所有结算单和其他文件，以便使发包人核对服务的进行情况及与之有关的承包人的费用。</w:t>
      </w:r>
    </w:p>
    <w:p w14:paraId="3EDC09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 发包人在收到承包人提交的结算资料后20天内，办理完核对工作，并立即支付最后的尾款。</w:t>
      </w:r>
    </w:p>
    <w:p w14:paraId="3D7BF2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 合同变更程序</w:t>
      </w:r>
    </w:p>
    <w:p w14:paraId="01F7AA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2.1 范围变更（工程师变更、不可预见变更、分包人提出的变更等等）可引起合同变更.</w:t>
      </w:r>
    </w:p>
    <w:p w14:paraId="5527CBC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 范围变更在（发包人）工程师签发范围变更指令后生效。</w:t>
      </w:r>
    </w:p>
    <w:p w14:paraId="4184130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 发包人签发的范围变更指令程序：</w:t>
      </w:r>
    </w:p>
    <w:p w14:paraId="79C8736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2.3.1 发包人书面向承包人签发范围变更指令。</w:t>
      </w:r>
    </w:p>
    <w:p w14:paraId="4AAD2E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2.3.2 承包人在收到范围变更指令7天内，以《范围变更意见书》提出范围变更的各种方案及效果，报（发包人）工程师，并说明：</w:t>
      </w:r>
    </w:p>
    <w:p w14:paraId="48F6B1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90"/>
        </w:tabs>
        <w:spacing w:before="0" w:beforeAutospacing="0" w:after="0" w:afterAutospacing="0" w:line="360" w:lineRule="auto"/>
        <w:ind w:left="0" w:firstLine="480"/>
      </w:pPr>
      <w:r>
        <w:rPr>
          <w:rFonts w:hint="default" w:ascii="Calibri" w:hAnsi="Calibri" w:cs="Calibri"/>
          <w:color w:val="000000"/>
          <w:sz w:val="24"/>
          <w:szCs w:val="24"/>
        </w:rPr>
        <w:t>（a）对合同价格、担保完工日、付款与工程进度计划、项目进度表、性能保证及可靠性保证的影响。</w:t>
      </w:r>
    </w:p>
    <w:p w14:paraId="70D7DF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90"/>
        </w:tabs>
        <w:spacing w:before="0" w:beforeAutospacing="0" w:after="0" w:afterAutospacing="0" w:line="360" w:lineRule="auto"/>
        <w:ind w:left="0" w:firstLine="480"/>
      </w:pPr>
      <w:r>
        <w:rPr>
          <w:rFonts w:hint="default" w:ascii="Calibri" w:hAnsi="Calibri" w:cs="Calibri"/>
          <w:color w:val="000000"/>
          <w:sz w:val="24"/>
          <w:szCs w:val="24"/>
        </w:rPr>
        <w:t>（b）对以上影响进行分析评价。</w:t>
      </w:r>
    </w:p>
    <w:p w14:paraId="07C158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90"/>
        </w:tabs>
        <w:spacing w:before="0" w:beforeAutospacing="0" w:after="0" w:afterAutospacing="0" w:line="360" w:lineRule="auto"/>
        <w:ind w:left="0" w:firstLine="480"/>
      </w:pPr>
      <w:r>
        <w:rPr>
          <w:rFonts w:hint="default" w:ascii="Calibri" w:hAnsi="Calibri" w:cs="Calibri"/>
          <w:color w:val="000000"/>
          <w:sz w:val="24"/>
          <w:szCs w:val="24"/>
        </w:rPr>
        <w:t>（c）推荐最佳方案。</w:t>
      </w:r>
    </w:p>
    <w:p w14:paraId="7B2981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2.3.3 如果范围变更指令引起价格变动时，承包人提出《范围变更价格调整报审表》向发包人报出变更预算。</w:t>
      </w:r>
    </w:p>
    <w:p w14:paraId="68E84F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2.3.4 发包人收到《范围变更意见书》后7天内，在《范围变更意见书》上予以答复（答复可以是要求提供进一步的信息或资料），并将指令传递给承包人。</w:t>
      </w:r>
    </w:p>
    <w:p w14:paraId="1B2096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2.3.5 承包人执行范围变更指令。</w:t>
      </w:r>
    </w:p>
    <w:p w14:paraId="50A894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2.3.6 （发包人）工程师对范围变更执行情况作出评价。</w:t>
      </w:r>
    </w:p>
    <w:p w14:paraId="459DFA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2.3.7 （发包人）工程师对范围变更引起的合同价格调整签署审批意见。</w:t>
      </w:r>
    </w:p>
    <w:p w14:paraId="410CC5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3.变更价的支付</w:t>
      </w:r>
    </w:p>
    <w:p w14:paraId="590B49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 由于发包人要求或同意作出的范围变更而导致价格的增减额，经发包人审定后，双方签章，进入合同价格。</w:t>
      </w:r>
    </w:p>
    <w:p w14:paraId="78BB24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 双方签章的变更价格，发包人应按照合同规定支付给承包人。</w:t>
      </w:r>
      <w:r>
        <w:rPr>
          <w:rFonts w:hint="default" w:ascii="Calibri" w:hAnsi="Calibri" w:cs="Calibri"/>
          <w:b/>
          <w:bCs/>
          <w:color w:val="000000"/>
          <w:sz w:val="28"/>
          <w:szCs w:val="28"/>
        </w:rPr>
        <w:br w:type="page"/>
      </w:r>
      <w:r>
        <w:rPr>
          <w:rFonts w:hint="default" w:ascii="Calibri" w:hAnsi="Calibri" w:cs="Calibri"/>
          <w:b/>
          <w:bCs/>
          <w:color w:val="000000"/>
          <w:sz w:val="28"/>
          <w:szCs w:val="28"/>
        </w:rPr>
        <w:t> </w:t>
      </w:r>
      <w:bookmarkStart w:id="1019" w:name="_Toc332275452"/>
      <w:bookmarkStart w:id="1020" w:name="_Toc330226221"/>
      <w:bookmarkStart w:id="1021" w:name="_Toc79760439"/>
      <w:r>
        <w:rPr>
          <w:rFonts w:hint="default" w:ascii="Calibri" w:hAnsi="Calibri" w:cs="Calibri"/>
          <w:b/>
          <w:bCs/>
          <w:color w:val="000000"/>
          <w:sz w:val="28"/>
          <w:szCs w:val="28"/>
        </w:rPr>
        <w:t>五、工程施工（非主体工程、非关键工作）分包招标管理程序</w:t>
      </w:r>
      <w:bookmarkEnd w:id="1019"/>
      <w:bookmarkEnd w:id="1020"/>
      <w:bookmarkEnd w:id="1021"/>
    </w:p>
    <w:p w14:paraId="547A2F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1.招标文件的准备</w:t>
      </w:r>
    </w:p>
    <w:p w14:paraId="035DB2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承包人依据总承包合作协议的要求，提供招标计划，编写工程施工部分的技术文件，交发包人审查。</w:t>
      </w:r>
    </w:p>
    <w:p w14:paraId="2A7843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 本工程的定标招标具体工作由承包人负责组织、评标和定标，发包人全程参与；标段中标的原则为综合评分排名第一名的投标单位即为中标意向分包人；本工程实施阶段的招投标工程，发包人有权参与工程招标且拥有否决权（无充足理由不得否决，招标结果中标通知书发出之日后7个工作日内，若招标过程中发包人代表未提出书面否决通知，视为同意承包人招标结果）。本工程招标的评标由评标委员会及技术组和商务组组成，评标委员会主任由承包人担任。</w:t>
      </w:r>
    </w:p>
    <w:p w14:paraId="7BA2C3A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 由承包人负责与中标意向分包人进行技术及商务谈判，发包人全程参与，确定分包人并签订合同，合同号按规定统一编号。</w:t>
      </w:r>
    </w:p>
    <w:p w14:paraId="7C7869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bookmarkStart w:id="1022" w:name="_Toc79760440"/>
      <w:bookmarkStart w:id="1023" w:name="_Toc332275453"/>
      <w:bookmarkStart w:id="1024" w:name="_Toc330226222"/>
      <w:r>
        <w:rPr>
          <w:rFonts w:hint="default" w:ascii="Calibri" w:hAnsi="Calibri" w:cs="Calibri"/>
          <w:b/>
          <w:bCs/>
          <w:color w:val="000000"/>
          <w:sz w:val="28"/>
          <w:szCs w:val="28"/>
        </w:rPr>
        <w:t>六、工程设备分包管理程序</w:t>
      </w:r>
      <w:bookmarkEnd w:id="1022"/>
      <w:bookmarkEnd w:id="1023"/>
      <w:bookmarkEnd w:id="1024"/>
      <w:r>
        <w:rPr>
          <w:rFonts w:hint="default" w:ascii="Calibri" w:hAnsi="Calibri" w:cs="Calibri"/>
          <w:color w:val="000000"/>
          <w:sz w:val="24"/>
          <w:szCs w:val="24"/>
        </w:rPr>
        <w:t xml:space="preserve">   </w:t>
      </w:r>
    </w:p>
    <w:p w14:paraId="04AE2A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643"/>
        </w:tabs>
        <w:spacing w:before="0" w:beforeAutospacing="0" w:after="0" w:afterAutospacing="0" w:line="360" w:lineRule="auto"/>
      </w:pPr>
      <w:r>
        <w:rPr>
          <w:rFonts w:hint="default" w:ascii="Calibri" w:hAnsi="Calibri" w:cs="Calibri"/>
          <w:color w:val="000000"/>
          <w:sz w:val="24"/>
          <w:szCs w:val="24"/>
        </w:rPr>
        <w:t>1.工作程序</w:t>
      </w:r>
      <w:r>
        <w:rPr>
          <w:rFonts w:hint="default" w:ascii="Calibri" w:hAnsi="Calibri" w:cs="Calibri"/>
          <w:color w:val="000000"/>
          <w:sz w:val="24"/>
          <w:szCs w:val="24"/>
        </w:rPr>
        <w:tab/>
      </w:r>
    </w:p>
    <w:p w14:paraId="2B444A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承包人依据承包合同的要求，组织编写设备的技术规范书，交发包人审查。</w:t>
      </w:r>
    </w:p>
    <w:p w14:paraId="026A9C0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承包人通过招标确定设备分包方，并组织进行技术规范书的商谈。</w:t>
      </w:r>
    </w:p>
    <w:p w14:paraId="022DC0E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2.设备采购合同的签订</w:t>
      </w:r>
    </w:p>
    <w:p w14:paraId="2A3F194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 承包人负责商务标书文本的准备，并提交发包人审查。</w:t>
      </w:r>
    </w:p>
    <w:p w14:paraId="209100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本工程的招标具体工作由承包人负责组织、评标和定标，发包人全程参与；标段中标的原则为综合评分排名第一名的投标单位即为中标意向分包人；本工程实施阶段的招投标工程，发包人参与工程招标且拥有否决权（无充足理由不得否决，招标结果中标通知书发出之日后7个工作日内，若招标过程中发包人代表未提出书面否决通知，视为同意承包人招标结果）。本工程招标的评标由评标委员会及技术组和商务组组成，评标委员会主任由承包人担任。</w:t>
      </w:r>
    </w:p>
    <w:p w14:paraId="478D96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2.3承包人负责与中标意向分包方进行商务谈判，确定分包方并签订合同，发包人全程参与。</w:t>
      </w:r>
    </w:p>
    <w:p w14:paraId="68812B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3.交接：</w:t>
      </w:r>
    </w:p>
    <w:p w14:paraId="3B1F63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运输分包方在设备到现场7天前，通知承包人，由承包人通报发包人工程师。承包人在设备运到现场的2天前，正式通知发包人，发包人工程师不参加设备开箱工作，提出主要设备开箱申请表，并通过承包人签署设备到货清单，承包人对到货设备的质量、数量负责。</w:t>
      </w:r>
    </w:p>
    <w:p w14:paraId="233A848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3.2项目设备的开箱检验和现场存储</w:t>
      </w:r>
    </w:p>
    <w:p w14:paraId="59565E8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3.2.1 承包人、监理单位、项目设备分包方和项目安装分包方组织现场设备的开箱检验工作，签署开箱记录，有设备缺陷的填写设备缺陷通知单。经消缺后提出设备缺陷处理报验表，签署后才能验收。装箱资料由承包人保管，项目安装/调试分包方领用；项目设备移交给项目安装分包方进行现场存储。</w:t>
      </w:r>
    </w:p>
    <w:p w14:paraId="3D492A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3.2.2 项目安装分包方根据项目设备的存储要求，对项目设备分别进行保管，保管的方式有露天存放和仓库存放。</w:t>
      </w:r>
    </w:p>
    <w:p w14:paraId="36DEAD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Calibri" w:hAnsi="Calibri" w:cs="Calibri"/>
          <w:b/>
          <w:bCs/>
          <w:color w:val="000000"/>
          <w:sz w:val="28"/>
          <w:szCs w:val="28"/>
        </w:rPr>
        <w:t>七、技术文件审查程序</w:t>
      </w:r>
    </w:p>
    <w:p w14:paraId="63651B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25" w:name="_Toc330226225"/>
      <w:r>
        <w:rPr>
          <w:rFonts w:hint="default" w:ascii="Calibri" w:hAnsi="Calibri" w:cs="Calibri"/>
          <w:color w:val="000000"/>
          <w:sz w:val="24"/>
          <w:szCs w:val="24"/>
        </w:rPr>
        <w:t>1. 工作内容：</w:t>
      </w:r>
      <w:bookmarkEnd w:id="1025"/>
    </w:p>
    <w:p w14:paraId="196CDCC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 设计文件编制、审批会签制度。</w:t>
      </w:r>
    </w:p>
    <w:p w14:paraId="36BEAF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 施工图纸会审和技术交底制度。</w:t>
      </w:r>
    </w:p>
    <w:p w14:paraId="0DCEC7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 设计文件（包括设备技术文件）变更的提出、变更、审核及标识制度。</w:t>
      </w:r>
    </w:p>
    <w:p w14:paraId="64E762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 施工组织设计、施工技术方案及调试方案的编写及审批制度。</w:t>
      </w:r>
    </w:p>
    <w:p w14:paraId="0B2CC6D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 工作责任：</w:t>
      </w:r>
    </w:p>
    <w:p w14:paraId="22377F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 设计文件的编制、审批和会签责任单位为承包人。</w:t>
      </w:r>
    </w:p>
    <w:p w14:paraId="29F06D0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 施工图纸会审由发包人组织，会审纪要经会审全体人员签字后发布。</w:t>
      </w:r>
    </w:p>
    <w:p w14:paraId="768793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 施工组织总设计编制由承包人负责，专业施工组织设计由分包人负责。</w:t>
      </w:r>
    </w:p>
    <w:p w14:paraId="6FB2F1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 各种施工技术方案和调试方案的责任单位为分包人。</w:t>
      </w:r>
    </w:p>
    <w:p w14:paraId="47ED92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26" w:name="_Toc79760442"/>
      <w:r>
        <w:rPr>
          <w:rFonts w:hint="default" w:ascii="Calibri" w:hAnsi="Calibri" w:cs="Calibri"/>
          <w:color w:val="000000"/>
          <w:sz w:val="24"/>
          <w:szCs w:val="24"/>
        </w:rPr>
        <w:t>2.5 施工过程中产生的施工技术文件由分包人负责整理、归档，工程竣工后移交承包人。</w:t>
      </w:r>
      <w:bookmarkEnd w:id="1026"/>
    </w:p>
    <w:p w14:paraId="115165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3.工作程序</w:t>
      </w:r>
    </w:p>
    <w:p w14:paraId="3E2FCA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27" w:name="_Toc79760443"/>
      <w:r>
        <w:rPr>
          <w:rFonts w:hint="default" w:ascii="Calibri" w:hAnsi="Calibri" w:cs="Calibri"/>
          <w:color w:val="000000"/>
          <w:sz w:val="24"/>
          <w:szCs w:val="24"/>
        </w:rPr>
        <w:t>3.1 设计文件的编制、审批、会签</w:t>
      </w:r>
      <w:bookmarkEnd w:id="1027"/>
    </w:p>
    <w:p w14:paraId="340D2A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3.1.1 设计文件形成过程中的编制、审批、会签按设计单位（承包人）的编审程序执行，施工图设计应按审查通过的初步设计、发包人与承包人认同的变更及承包合同附件《技术规范书》进行。</w:t>
      </w:r>
    </w:p>
    <w:p w14:paraId="24A3956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99"/>
      </w:pPr>
      <w:r>
        <w:rPr>
          <w:rFonts w:hint="default" w:ascii="Calibri" w:hAnsi="Calibri" w:cs="Calibri"/>
          <w:color w:val="000000"/>
          <w:sz w:val="24"/>
          <w:szCs w:val="24"/>
        </w:rPr>
        <w:t>3.1.2 发包人对设计文件的审查</w:t>
      </w:r>
    </w:p>
    <w:p w14:paraId="754E36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项目初步设计文件编制完成后承包人应及时报送发包人审查，在发包人审查通过后方可进行详细设计；施工设计完成后，由承包人向发包人提供三份施工图设计文件供其评审，发包人将在收到之日起12天内对施工图设计文件提出评审意见。经发包人评审的施工图才能作为项目建设实施的有效文件。</w:t>
      </w:r>
    </w:p>
    <w:p w14:paraId="5B853B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36"/>
      </w:pPr>
      <w:bookmarkStart w:id="1028" w:name="_Toc79760444"/>
      <w:bookmarkStart w:id="1029" w:name="_Toc330226226"/>
      <w:r>
        <w:rPr>
          <w:rFonts w:hint="default" w:ascii="Calibri" w:hAnsi="Calibri" w:cs="Calibri"/>
          <w:color w:val="000000"/>
          <w:sz w:val="24"/>
          <w:szCs w:val="24"/>
        </w:rPr>
        <w:t>3.2 施工图纸会审和技术交底的组织、程序和主要内容：</w:t>
      </w:r>
      <w:bookmarkEnd w:id="1028"/>
      <w:bookmarkEnd w:id="1029"/>
    </w:p>
    <w:p w14:paraId="030B2AC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3.2.1 施工图纸会审由发包人事先通知承包人、监理方、质监站、设计、施工、安装调试单位、分包人，由各单位派出专业技术人员参加。</w:t>
      </w:r>
    </w:p>
    <w:p w14:paraId="6CCFDA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76"/>
      </w:pPr>
      <w:r>
        <w:rPr>
          <w:rFonts w:hint="default" w:ascii="Calibri" w:hAnsi="Calibri" w:cs="Calibri"/>
          <w:color w:val="000000"/>
          <w:sz w:val="24"/>
          <w:szCs w:val="24"/>
        </w:rPr>
        <w:t>3.2.2 施工图纸会审的程序：</w:t>
      </w:r>
    </w:p>
    <w:p w14:paraId="552837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20"/>
      </w:pPr>
      <w:r>
        <w:rPr>
          <w:rFonts w:hint="default" w:ascii="Calibri" w:hAnsi="Calibri" w:cs="Calibri"/>
          <w:color w:val="000000"/>
          <w:sz w:val="24"/>
          <w:szCs w:val="24"/>
        </w:rPr>
        <w:t>1）先由承包人的设计人员介绍设计意图、设计特点、工艺要求、与有关注意事项；</w:t>
      </w:r>
    </w:p>
    <w:p w14:paraId="3EAB786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2）各有关单位提出图纸中的疑问、存在的问题和需要解决的问题；</w:t>
      </w:r>
    </w:p>
    <w:p w14:paraId="162A94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3）承包人的设计人员答疑；</w:t>
      </w:r>
    </w:p>
    <w:p w14:paraId="01900A5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4）各单位针对问题进行研究与协商，拟订解决问题的办法；</w:t>
      </w:r>
    </w:p>
    <w:p w14:paraId="5A4EA6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3.2.3 主办单位对会审做好详细的记录，并整理形成会议纪要，经各方会签后发至参加会审的各单位。</w:t>
      </w:r>
    </w:p>
    <w:p w14:paraId="699066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3.2.4 对会审中已决定必须修改的内容，由承包人的设计人员按设计变更管理程序提出修改设计。</w:t>
      </w:r>
    </w:p>
    <w:p w14:paraId="1D9FBE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3.2.5 通过了会审的施工图纸是工程施工的依据。</w:t>
      </w:r>
    </w:p>
    <w:p w14:paraId="11F727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30" w:name="_Toc330226227"/>
      <w:bookmarkStart w:id="1031" w:name="_Toc79760445"/>
      <w:r>
        <w:rPr>
          <w:rFonts w:hint="default" w:ascii="Calibri" w:hAnsi="Calibri" w:cs="Calibri"/>
          <w:color w:val="000000"/>
          <w:sz w:val="24"/>
          <w:szCs w:val="24"/>
        </w:rPr>
        <w:t>3.3 设计变更（包括制造厂出厂文件）程序</w:t>
      </w:r>
      <w:bookmarkEnd w:id="1030"/>
      <w:bookmarkEnd w:id="1031"/>
    </w:p>
    <w:p w14:paraId="720564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3.3.1设计变更的提出和变更</w:t>
      </w:r>
    </w:p>
    <w:p w14:paraId="31DF11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1）设计变更按设计单位的设计变更管理规定的程序执行。</w:t>
      </w:r>
    </w:p>
    <w:p w14:paraId="5F7E9E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360"/>
      </w:pPr>
      <w:r>
        <w:rPr>
          <w:rFonts w:hint="default" w:ascii="Calibri" w:hAnsi="Calibri" w:cs="Calibri"/>
          <w:color w:val="000000"/>
          <w:sz w:val="24"/>
          <w:szCs w:val="24"/>
        </w:rPr>
        <w:t>2）非设计单位（承包人）需提出设计变更和材料代用时，由提出单位填写工程设计变更申请单，经承包人有关专业人员审核签字后报发包人备案，影响合同价款的变更及重大的变更或材料代用由承包人及发包人方审核签字后，由承包人或分包人转发设计单位或制造厂家，由设计单位或制造厂家按设计变更管理规定出具设计变更通知单，再转发至承包人工程质检部。</w:t>
      </w:r>
    </w:p>
    <w:p w14:paraId="743244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32" w:name="_Toc79760446"/>
      <w:r>
        <w:rPr>
          <w:rFonts w:hint="default" w:ascii="Calibri" w:hAnsi="Calibri" w:cs="Calibri"/>
          <w:color w:val="000000"/>
          <w:sz w:val="24"/>
          <w:szCs w:val="24"/>
        </w:rPr>
        <w:t>3.3.2设计变更的审核和标识</w:t>
      </w:r>
      <w:bookmarkEnd w:id="1032"/>
    </w:p>
    <w:p w14:paraId="7A40C41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1）设计修改项目（无价格变更）由承包人专业工程师签字审核。报发包人备案。</w:t>
      </w:r>
    </w:p>
    <w:p w14:paraId="6D7EB66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2）有价格变更的设计变更项目由承包人项目总（副总）工程师审核批准，并经发包人方审核签字批准后，方可实施。</w:t>
      </w:r>
    </w:p>
    <w:p w14:paraId="6E62A3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批准后的设计变更通知单由承包人资料室资料员登记后及时分发至各执行单位或部门，资料室保留二份（一份原件）存档。设计变更通知单至少四份原件，发包人方、设计单位、承包人、及有关分包人各执一份。</w:t>
      </w:r>
    </w:p>
    <w:p w14:paraId="7758B5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4）承包人和有关分包人接到设计变更通知单后应及时在原设计图纸上进行相应的标识。</w:t>
      </w:r>
    </w:p>
    <w:p w14:paraId="4AD5F2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5）设计院（承包人）根据设计变更通知单编制竣工图。</w:t>
      </w:r>
    </w:p>
    <w:p w14:paraId="726479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33" w:name="_Toc330226228"/>
      <w:bookmarkStart w:id="1034" w:name="_Toc79760447"/>
      <w:r>
        <w:rPr>
          <w:rFonts w:hint="default" w:ascii="Calibri" w:hAnsi="Calibri" w:cs="Calibri"/>
          <w:color w:val="000000"/>
          <w:sz w:val="24"/>
          <w:szCs w:val="24"/>
        </w:rPr>
        <w:t>3.4 施工组织设计、施工技术方案（包括作业指导书）、调试方案的编写、审核和批准。</w:t>
      </w:r>
      <w:bookmarkEnd w:id="1033"/>
      <w:bookmarkEnd w:id="1034"/>
    </w:p>
    <w:p w14:paraId="256733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w:t>
      </w:r>
      <w:bookmarkStart w:id="1035" w:name="_Toc79760448"/>
      <w:r>
        <w:rPr>
          <w:rFonts w:hint="default" w:ascii="Calibri" w:hAnsi="Calibri" w:cs="Calibri"/>
          <w:color w:val="000000"/>
          <w:sz w:val="24"/>
          <w:szCs w:val="24"/>
        </w:rPr>
        <w:t>3.4.1 施工组织总设计</w:t>
      </w:r>
      <w:bookmarkEnd w:id="1035"/>
    </w:p>
    <w:p w14:paraId="04BD91E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 承包人应根据a.《施工组织设计导则》；</w:t>
      </w:r>
      <w:r>
        <w:rPr>
          <w:rFonts w:hint="default" w:ascii="Calibri" w:hAnsi="Calibri" w:cs="Calibri"/>
          <w:color w:val="0000FF"/>
          <w:sz w:val="24"/>
          <w:szCs w:val="24"/>
        </w:rPr>
        <w:t>b. 与发包人签署的《</w:t>
      </w:r>
      <w:r>
        <w:rPr>
          <w:rFonts w:hint="default" w:ascii="Calibri" w:hAnsi="Calibri" w:cs="Calibri"/>
          <w:color w:val="0000FF"/>
          <w:sz w:val="24"/>
          <w:szCs w:val="24"/>
          <w:u w:val="single"/>
        </w:rPr>
        <w:t xml:space="preserve">                   </w:t>
      </w:r>
      <w:r>
        <w:rPr>
          <w:rFonts w:hint="default" w:ascii="Calibri" w:hAnsi="Calibri" w:cs="Calibri"/>
          <w:color w:val="0000FF"/>
          <w:sz w:val="24"/>
          <w:szCs w:val="24"/>
        </w:rPr>
        <w:t>合同》；</w:t>
      </w:r>
      <w:r>
        <w:rPr>
          <w:rFonts w:hint="default" w:ascii="Calibri" w:hAnsi="Calibri" w:cs="Calibri"/>
          <w:color w:val="000000"/>
          <w:sz w:val="24"/>
          <w:szCs w:val="24"/>
        </w:rPr>
        <w:t>c. 国家有关法令、法规组织编写施工组织总设计。编写初稿经承包人项目部总工审查后报审查小组审查，该审查小组包括主管领导、发包人方、承包人、分包人等派出的专业人员，经审查并完善后的施工组织总设计由发包人方项目经理批准后出版实施。</w:t>
      </w:r>
    </w:p>
    <w:p w14:paraId="09B697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 专业施工组织设计由分包人根据《施工组织设计导则》和施工组织总设计的规定进行编写经分包人总工程师审批后报承包人批准。</w:t>
      </w:r>
    </w:p>
    <w:p w14:paraId="4FFF0D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36" w:name="_Toc79760449"/>
      <w:r>
        <w:rPr>
          <w:rFonts w:hint="default" w:ascii="Calibri" w:hAnsi="Calibri" w:cs="Calibri"/>
          <w:color w:val="000000"/>
          <w:sz w:val="24"/>
          <w:szCs w:val="24"/>
        </w:rPr>
        <w:t>3.4.2 施工技术方案（包括作业指导书）调试方案及大件运输方案</w:t>
      </w:r>
      <w:bookmarkEnd w:id="1036"/>
    </w:p>
    <w:p w14:paraId="7838E6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1）分包人在开工前一周内向承包人提交施工技术方案及作业指导书的目录清单，并分批将施工技术方案和作业指导书交承包人备案。</w:t>
      </w:r>
    </w:p>
    <w:p w14:paraId="28F035B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2）重大的施工技术方案和作业指导书应经一个审查小组审查，该审查小组包括发包人方、承包人、分包人及技术监督部门派出的专业人员，经审查的方案\措施由分承包人方总工程师批准后出版。</w:t>
      </w:r>
    </w:p>
    <w:p w14:paraId="5D07CFD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3）大件运输方案必须经承包人批准，并报发包人方或监理方审查签字后实施。</w:t>
      </w:r>
      <w:r>
        <w:rPr>
          <w:rFonts w:hint="default" w:ascii="Calibri" w:hAnsi="Calibri" w:cs="Calibri"/>
          <w:b/>
          <w:bCs/>
          <w:color w:val="000000"/>
          <w:sz w:val="28"/>
          <w:szCs w:val="28"/>
        </w:rPr>
        <w:br w:type="page"/>
      </w:r>
      <w:r>
        <w:rPr>
          <w:rFonts w:hint="default" w:ascii="Calibri" w:hAnsi="Calibri" w:cs="Calibri"/>
          <w:b/>
          <w:bCs/>
          <w:color w:val="000000"/>
          <w:sz w:val="28"/>
          <w:szCs w:val="28"/>
        </w:rPr>
        <w:t> </w:t>
      </w:r>
      <w:bookmarkStart w:id="1037" w:name="_Toc330226229"/>
      <w:bookmarkStart w:id="1038" w:name="_Toc79760450"/>
      <w:bookmarkStart w:id="1039" w:name="_Toc332275455"/>
      <w:r>
        <w:rPr>
          <w:rFonts w:hint="default" w:ascii="Calibri" w:hAnsi="Calibri" w:cs="Calibri"/>
          <w:b/>
          <w:bCs/>
          <w:color w:val="000000"/>
          <w:sz w:val="28"/>
          <w:szCs w:val="28"/>
        </w:rPr>
        <w:t>八、工作联系单管理制度</w:t>
      </w:r>
      <w:bookmarkEnd w:id="1037"/>
      <w:bookmarkEnd w:id="1038"/>
      <w:bookmarkEnd w:id="1039"/>
    </w:p>
    <w:p w14:paraId="365B8F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1.适用范围</w:t>
      </w:r>
    </w:p>
    <w:p w14:paraId="482406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1.1除重大问题和重大决定必须正式行文外，各单位之间，在下列活动中联系处理一般工程问题，均可采用“工作联系单”形式进行联络。</w:t>
      </w:r>
    </w:p>
    <w:p w14:paraId="2D27DC2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1.2发包人、承包人、设计代表监理方对施工质量进行跟踪检查发现问题时，需提出书面意见；</w:t>
      </w:r>
    </w:p>
    <w:p w14:paraId="56BA1B2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1.3发包人及承包人就现场总平面、道路、水源、电源、通讯等方面的安排，通知各施工分包人；</w:t>
      </w:r>
    </w:p>
    <w:p w14:paraId="2FF7067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1.4施工协调，施工进度协调。工程协调中不涉及重大技术和费用的问题。</w:t>
      </w:r>
    </w:p>
    <w:p w14:paraId="324D15C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1.5分承包单位方提出请承包或发包人向生产运行部门或外部单位联系，不涉及办理工作票；</w:t>
      </w:r>
    </w:p>
    <w:p w14:paraId="31E28B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1.6厂家驻工地代表与各单位之间需要协调的问题；</w:t>
      </w:r>
    </w:p>
    <w:p w14:paraId="33176D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2.工作联系单格式</w:t>
      </w:r>
    </w:p>
    <w:p w14:paraId="324D04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本工程正式开工前制定工作联系单基本格式和编号原则，发包人、各分包人一般按此要求执行，其他单位可参照执行。</w:t>
      </w:r>
    </w:p>
    <w:p w14:paraId="2274FB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3.工作联系单使用程序</w:t>
      </w:r>
    </w:p>
    <w:p w14:paraId="2CADFBF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01"/>
        </w:tabs>
        <w:spacing w:before="0" w:beforeAutospacing="0" w:after="0" w:afterAutospacing="0" w:line="360" w:lineRule="auto"/>
        <w:ind w:left="0" w:firstLine="480"/>
      </w:pPr>
      <w:r>
        <w:rPr>
          <w:rFonts w:hint="default" w:ascii="Calibri" w:hAnsi="Calibri" w:cs="Calibri"/>
          <w:color w:val="000000"/>
          <w:sz w:val="24"/>
          <w:szCs w:val="24"/>
        </w:rPr>
        <w:t>    3.1工作联系单的签发</w:t>
      </w:r>
    </w:p>
    <w:p w14:paraId="0B6CF2F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工作联系单由各单位相关部门提出，由单位或部门负责人签字，归口部门签发。</w:t>
      </w:r>
    </w:p>
    <w:p w14:paraId="4FE2118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3.2工作联系单的处理</w:t>
      </w:r>
    </w:p>
    <w:p w14:paraId="14D328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签发单位每次须将工程联系单直接送达“主送单位”送及抄送单位。“主送单位”应在接到工作联系单后四十八小时内签署回复意见，并送达签发单位和抄送单位。</w:t>
      </w:r>
    </w:p>
    <w:p w14:paraId="530A15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3.3工作联系单的保管</w:t>
      </w:r>
    </w:p>
    <w:p w14:paraId="677E0B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签发单位和相关单位应负责妥善保存工作联系。</w:t>
      </w:r>
    </w:p>
    <w:p w14:paraId="33B959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bookmarkStart w:id="1040" w:name="_Toc332275456"/>
      <w:bookmarkStart w:id="1041" w:name="_Toc330226230"/>
      <w:bookmarkStart w:id="1042" w:name="_Toc79760451"/>
      <w:r>
        <w:rPr>
          <w:rFonts w:hint="default" w:ascii="Calibri" w:hAnsi="Calibri" w:cs="Calibri"/>
          <w:b/>
          <w:bCs/>
          <w:color w:val="000000"/>
          <w:sz w:val="28"/>
          <w:szCs w:val="28"/>
        </w:rPr>
        <w:t>九、施工图设计技术交底与图纸会审制度</w:t>
      </w:r>
      <w:bookmarkEnd w:id="1040"/>
      <w:bookmarkEnd w:id="1041"/>
      <w:bookmarkEnd w:id="1042"/>
    </w:p>
    <w:p w14:paraId="7645D0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 目的</w:t>
      </w:r>
    </w:p>
    <w:p w14:paraId="1537A5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1.1 施工图纸是施工和验收的主要依据，施工人员应充分领会设计意图，掌握工程关键部分的质量要求，熟悉设计内容，正确地按图施工，确保工程质量，在施工前必须进行施工图会审和技术交底。消除施工图纸中存在的差错和不合理部分。</w:t>
      </w:r>
    </w:p>
    <w:p w14:paraId="3F74152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1.2 设计技术交底与图纸会审由发包人工程师方组织，各有关单位参加。</w:t>
      </w:r>
    </w:p>
    <w:p w14:paraId="348751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1.3 施工图纸会审与设计技术交底同时进行。</w:t>
      </w:r>
    </w:p>
    <w:p w14:paraId="2B96626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2. 施工图纸会审和技术交底的组织程序：</w:t>
      </w:r>
    </w:p>
    <w:p w14:paraId="2F4D94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2.1 施工图纸会审和技术交底前，主持单位应事先通知参加人员熟悉设计图纸、进行必要的图纸核对和计算、准备会议应讨论的内容；</w:t>
      </w:r>
    </w:p>
    <w:p w14:paraId="1DF9E8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2.2 由承包人的设计单位人员介绍设计意图、工艺布置与结构特点及有关注意事项；</w:t>
      </w:r>
    </w:p>
    <w:p w14:paraId="6FF1F8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2.3 各有关单位提出图纸中的疑问、存在的问题和需要解决的问题；</w:t>
      </w:r>
    </w:p>
    <w:p w14:paraId="21AA19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2.4 设计单位承包人的设计单位人员答疑；</w:t>
      </w:r>
    </w:p>
    <w:p w14:paraId="0E6A38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2.5 针对问题进行讨论研究，拟订解决问题的办法；</w:t>
      </w:r>
    </w:p>
    <w:p w14:paraId="372505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2.6 会审中已决定必须修改的项目，由原设计单位承包人的设计单位人员按设计变更管理程序出具设计修改通知单。</w:t>
      </w:r>
    </w:p>
    <w:p w14:paraId="366FBD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2.7 主办单位对会审做好详细的记录，形成会议纪要，经各方会签后发至参加会审的各单位。</w:t>
      </w:r>
    </w:p>
    <w:p w14:paraId="2FD7D7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 图纸会审的主要内容：</w:t>
      </w:r>
    </w:p>
    <w:p w14:paraId="606082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3.1 施工图与初设审查意见是否相符；</w:t>
      </w:r>
    </w:p>
    <w:p w14:paraId="5BB86A2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3.2 施工图纸与设备、特殊材料的技术要求是否一致；</w:t>
      </w:r>
    </w:p>
    <w:p w14:paraId="6779C4F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360" w:lineRule="auto"/>
        <w:ind w:left="0" w:firstLine="480"/>
      </w:pPr>
      <w:r>
        <w:rPr>
          <w:rFonts w:hint="default" w:ascii="Calibri" w:hAnsi="Calibri" w:cs="Calibri"/>
          <w:color w:val="000000"/>
          <w:sz w:val="24"/>
          <w:szCs w:val="24"/>
        </w:rPr>
        <w:t>    3.3 设计与施工的主要技术方案是否能相适应，对现场条件的特殊要求是否符合；</w:t>
      </w:r>
    </w:p>
    <w:p w14:paraId="3C4B2A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3.4 图纸表达深度和出图范围能否满足施工要求；</w:t>
      </w:r>
    </w:p>
    <w:p w14:paraId="3BE24A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3.5 预制构件、设备组件及现场加工要求是否能与现场施工能力相适应；</w:t>
      </w:r>
    </w:p>
    <w:p w14:paraId="6B815C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3.6 各专业之间设计是否协调，设备外形尺寸和基础尺寸、建（构）筑物预留孔洞及埋件与安装图纸要求，设备与系统联接部位、管线之间接口是否正确；</w:t>
      </w:r>
    </w:p>
    <w:p w14:paraId="16BAEC8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3.7 设计采用的新结构、新材料、新设备、新工艺、新技术在施工技术、机具和物资供应上有无困难，并应有协调解决的办法；</w:t>
      </w:r>
    </w:p>
    <w:p w14:paraId="2EC0ED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3.8 施工图之间，总图和分图之间、总体尺寸和分部尺寸之间有无矛盾；</w:t>
      </w:r>
    </w:p>
    <w:p w14:paraId="20A967B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3.9 是否存在设计漏项；</w:t>
      </w:r>
    </w:p>
    <w:p w14:paraId="1FB4D1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3.10 满足生产运行安全、经济的要求和检修、维护作业的需要；</w:t>
      </w:r>
    </w:p>
    <w:p w14:paraId="6BD21F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20"/>
      </w:pPr>
      <w:r>
        <w:rPr>
          <w:rFonts w:hint="default" w:ascii="Calibri" w:hAnsi="Calibri" w:cs="Calibri"/>
          <w:color w:val="000000"/>
          <w:sz w:val="24"/>
          <w:szCs w:val="24"/>
        </w:rPr>
        <w:t>3.11 施工安全、环境卫生得到保证；</w:t>
      </w:r>
    </w:p>
    <w:p w14:paraId="07D6FD4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20"/>
      </w:pPr>
      <w:r>
        <w:rPr>
          <w:rFonts w:hint="default" w:ascii="Calibri" w:hAnsi="Calibri" w:cs="Calibri"/>
          <w:color w:val="000000"/>
          <w:sz w:val="24"/>
          <w:szCs w:val="24"/>
        </w:rPr>
        <w:t>3.12发包人的要求；</w:t>
      </w:r>
    </w:p>
    <w:p w14:paraId="21185F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4. 其他</w:t>
      </w:r>
    </w:p>
    <w:p w14:paraId="0690EA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4.1 图纸会审和技术交底应在工程开工前进行。</w:t>
      </w:r>
    </w:p>
    <w:p w14:paraId="2E2159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参加图纸会审和技术交底的单位包括发包人方、承包人、分包人、设计人员监理方等，承包人的设计人员必须是项目的主要设计人或了解设计情况的工地代表，必要时由承包人邀请相应的设备制造厂代表和调试单位参加。</w:t>
      </w:r>
    </w:p>
    <w:p w14:paraId="75C698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7566"/>
        </w:tabs>
        <w:spacing w:before="0" w:beforeAutospacing="0" w:after="0" w:afterAutospacing="0" w:line="360" w:lineRule="auto"/>
        <w:ind w:left="0" w:firstLine="480"/>
      </w:pPr>
      <w:r>
        <w:rPr>
          <w:rFonts w:hint="default" w:ascii="Calibri" w:hAnsi="Calibri" w:cs="Calibri"/>
          <w:color w:val="000000"/>
          <w:sz w:val="24"/>
          <w:szCs w:val="24"/>
        </w:rPr>
        <w:t>4.3 会审中有可能出现的设计修改，必须符合已批准的初步设计原则和国家、部、电力规划设计总院所颁发的有关设计标准，规范及其他文件；当通过协商各方意见仍不能统一时，由承包人与发包人方商议后作出决定。</w:t>
      </w:r>
    </w:p>
    <w:p w14:paraId="5300FF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7566"/>
        </w:tabs>
        <w:spacing w:before="0" w:beforeAutospacing="0" w:after="0" w:afterAutospacing="0" w:line="360" w:lineRule="auto"/>
        <w:ind w:left="0" w:firstLine="480"/>
      </w:pPr>
      <w:r>
        <w:rPr>
          <w:rFonts w:hint="default" w:ascii="Calibri" w:hAnsi="Calibri" w:cs="Calibri"/>
          <w:color w:val="000000"/>
          <w:sz w:val="24"/>
          <w:szCs w:val="24"/>
        </w:rPr>
        <w:t>4.4 施工图设计技术交底与图纸会审可根据施工情况分阶段进行。</w:t>
      </w:r>
      <w:r>
        <w:rPr>
          <w:rFonts w:hint="default" w:ascii="Calibri" w:hAnsi="Calibri" w:cs="Calibri"/>
          <w:b/>
          <w:bCs/>
          <w:color w:val="000000"/>
          <w:sz w:val="28"/>
          <w:szCs w:val="28"/>
        </w:rPr>
        <w:br w:type="page"/>
      </w:r>
      <w:r>
        <w:rPr>
          <w:rFonts w:hint="default" w:ascii="Calibri" w:hAnsi="Calibri" w:cs="Calibri"/>
          <w:b/>
          <w:bCs/>
          <w:color w:val="000000"/>
          <w:sz w:val="28"/>
          <w:szCs w:val="28"/>
        </w:rPr>
        <w:t> </w:t>
      </w:r>
      <w:bookmarkStart w:id="1043" w:name="_Toc330226231"/>
      <w:bookmarkStart w:id="1044" w:name="_Toc79760452"/>
      <w:bookmarkStart w:id="1045" w:name="_Toc332275457"/>
      <w:r>
        <w:rPr>
          <w:rFonts w:hint="default" w:ascii="Calibri" w:hAnsi="Calibri" w:cs="Calibri"/>
          <w:b/>
          <w:bCs/>
          <w:color w:val="000000"/>
          <w:sz w:val="28"/>
          <w:szCs w:val="28"/>
        </w:rPr>
        <w:t>十、设计变更管理制度</w:t>
      </w:r>
      <w:bookmarkEnd w:id="1043"/>
      <w:bookmarkEnd w:id="1044"/>
      <w:bookmarkEnd w:id="1045"/>
    </w:p>
    <w:p w14:paraId="4FE6FD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p w14:paraId="355390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1. 目的</w:t>
      </w:r>
    </w:p>
    <w:p w14:paraId="75BB06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经过批准的工程设计文件是施工的主要依据。允许进行相应的设计变更，目的是使本工程更合理、更完善。</w:t>
      </w:r>
    </w:p>
    <w:p w14:paraId="208D63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9"/>
      </w:pPr>
      <w:r>
        <w:rPr>
          <w:rFonts w:hint="default" w:ascii="Calibri" w:hAnsi="Calibri" w:cs="Calibri"/>
          <w:b/>
          <w:bCs/>
          <w:color w:val="000000"/>
          <w:sz w:val="24"/>
          <w:szCs w:val="24"/>
        </w:rPr>
        <w:t> </w:t>
      </w:r>
      <w:r>
        <w:rPr>
          <w:rFonts w:hint="default" w:ascii="Calibri" w:hAnsi="Calibri" w:cs="Calibri"/>
          <w:color w:val="000000"/>
          <w:sz w:val="24"/>
          <w:szCs w:val="24"/>
        </w:rPr>
        <w:t>2</w:t>
      </w:r>
      <w:r>
        <w:rPr>
          <w:rFonts w:hint="default" w:ascii="Calibri" w:hAnsi="Calibri" w:cs="Calibri"/>
          <w:b/>
          <w:bCs/>
          <w:color w:val="000000"/>
          <w:sz w:val="24"/>
          <w:szCs w:val="24"/>
        </w:rPr>
        <w:t>.</w:t>
      </w:r>
      <w:r>
        <w:rPr>
          <w:rFonts w:hint="default" w:ascii="Calibri" w:hAnsi="Calibri" w:cs="Calibri"/>
          <w:color w:val="000000"/>
          <w:sz w:val="24"/>
          <w:szCs w:val="24"/>
        </w:rPr>
        <w:t xml:space="preserve"> 设计变更的原因</w:t>
      </w:r>
    </w:p>
    <w:p w14:paraId="4C0B793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1) 设计文件有差错；</w:t>
      </w:r>
    </w:p>
    <w:p w14:paraId="1C2235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2) 设计与实际情况不符合或设计条件有变化；</w:t>
      </w:r>
    </w:p>
    <w:p w14:paraId="3F88A1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3) 技术改进及合理化建议；</w:t>
      </w:r>
    </w:p>
    <w:p w14:paraId="7755C47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4) 发包人方提出的设计变更。</w:t>
      </w:r>
    </w:p>
    <w:p w14:paraId="0838A8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3. 设计变更（包括制造厂的设计文件）的分类</w:t>
      </w:r>
    </w:p>
    <w:p w14:paraId="6146341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3.1 小型设计变更：不涉及变更原设计原则、不影响质量和安全经济运行、不影响整洁美观、且不增减预算费用的变更事项；</w:t>
      </w:r>
    </w:p>
    <w:p w14:paraId="1CCEE9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3.2 一般设计变更：工程内容有变化，也可能有价格变化，但不属于重大设计变更的项目。</w:t>
      </w:r>
    </w:p>
    <w:p w14:paraId="15E2C5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3.3 重大设计变更：变更设计原则；变更系统方案和主要结构、布置；修改主要尺寸；主要原材料和设备的采用等设计变更项目，并涉及初设收口价格需要调整的修改项目。</w:t>
      </w:r>
    </w:p>
    <w:p w14:paraId="1AC3FF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4. 设计变更的（包括制造厂的设计变更）提出和变更</w:t>
      </w:r>
    </w:p>
    <w:p w14:paraId="272EE7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4.1 设计变更按设计单位的设计变更管理规定作出设计变更。</w:t>
      </w:r>
    </w:p>
    <w:p w14:paraId="14E68D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4.2 非承包人设计单位需设计变更和材料代用时，由提出单位填写工程设计变更联系单，经承包人有关专业人员审核签字，重大的变更或材料代用由承包人的总工程师及工程监理方审核签字，涉及初步设计已审批的原则修改，或影响价款或影响施工工期等的修改，应经承包人和发包人审批后，转发设计单位或制造厂家，由设计单位和承包人或制造厂家按设计变更管理规定作出设计变更。</w:t>
      </w:r>
    </w:p>
    <w:p w14:paraId="27588B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5. 设计变更的审核和标识</w:t>
      </w:r>
    </w:p>
    <w:p w14:paraId="4C12AA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 5.1 小型设计修改项目由承包人专业工程师审核签字。</w:t>
      </w:r>
    </w:p>
    <w:p w14:paraId="149A9B4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 5.2 一般设计修改项目由承包人项目总工程师和发包人工程师审核签字。</w:t>
      </w:r>
    </w:p>
    <w:p w14:paraId="446490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 5.3 重大的设计变更项目由承包人项目总工程师和发包人工程师审核，报发包人批准。</w:t>
      </w:r>
    </w:p>
    <w:p w14:paraId="163411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 5.4 承包人和有关分包人接到设计变更通知单后应及时地在原设计图纸上进行相应的标识。</w:t>
      </w:r>
    </w:p>
    <w:p w14:paraId="6E1693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 6. 设计变更应在完成上述审批手续之后才允许施工，一般不得先施工后补设计变更手续。对于需连续施工、且不能中断的项目，在有关方形成统一意见后，可先施工，再补办手续。</w:t>
      </w:r>
    </w:p>
    <w:p w14:paraId="2CB96BA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 7. 批准后的设计变更通知单由资料员登记后及时分发至各有关单位或部门，资料室保留二份（至少一份原件）存档。设计变更通知单至少四份原件，发包人、设计单位监理方、承包人、及各有关分包人各执一份。</w:t>
      </w:r>
    </w:p>
    <w:p w14:paraId="6DE0A7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783"/>
          <w:tab w:val="left" w:pos="7566"/>
        </w:tabs>
        <w:spacing w:before="0" w:beforeAutospacing="0" w:after="0" w:afterAutospacing="0" w:line="360" w:lineRule="auto"/>
        <w:ind w:left="0" w:firstLine="480"/>
      </w:pPr>
      <w:r>
        <w:rPr>
          <w:rFonts w:hint="default" w:ascii="Calibri" w:hAnsi="Calibri" w:cs="Calibri"/>
          <w:color w:val="000000"/>
          <w:sz w:val="24"/>
          <w:szCs w:val="24"/>
        </w:rPr>
        <w:t>8.设计变更资料作为设计文件组成部分应予妥善保管，工程竣工后统一归档，作为工程竣工移交资料的一部分。</w:t>
      </w:r>
    </w:p>
    <w:p w14:paraId="1D45BD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bookmarkStart w:id="1046" w:name="_Toc330226232"/>
      <w:bookmarkStart w:id="1047" w:name="_Toc79760453"/>
      <w:bookmarkStart w:id="1048" w:name="_Toc332275458"/>
      <w:r>
        <w:rPr>
          <w:rFonts w:hint="default" w:ascii="Calibri" w:hAnsi="Calibri" w:cs="Calibri"/>
          <w:b/>
          <w:bCs/>
          <w:color w:val="000000"/>
          <w:sz w:val="28"/>
          <w:szCs w:val="28"/>
        </w:rPr>
        <w:t>十一、工程质量检查与验收制度</w:t>
      </w:r>
      <w:bookmarkEnd w:id="1046"/>
      <w:bookmarkEnd w:id="1047"/>
      <w:bookmarkEnd w:id="1048"/>
    </w:p>
    <w:p w14:paraId="02F253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 验评范围</w:t>
      </w:r>
    </w:p>
    <w:p w14:paraId="1941DA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 质量验评范围主要包含：质量检验评定项目的划分；各单位工程检验范围；各分项工程质量验评标准的套用。</w:t>
      </w:r>
    </w:p>
    <w:p w14:paraId="26B7F0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 按照“验标”基本模式，结合工程具体情况编制所承建工程的质量验评范围。</w:t>
      </w:r>
    </w:p>
    <w:p w14:paraId="3A2309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 验评程序</w:t>
      </w:r>
    </w:p>
    <w:p w14:paraId="5371B5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 工程项目进行的质量检验及评定，必须在该工程项目完成后进行。</w:t>
      </w:r>
    </w:p>
    <w:p w14:paraId="764CA38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 工程质量检验评定按分项（段）、分部和单位工程划分顺序逐级进行。</w:t>
      </w:r>
    </w:p>
    <w:p w14:paraId="2994D8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2.2.1 分项工程的质量检验评定</w:t>
      </w:r>
    </w:p>
    <w:p w14:paraId="387CCD1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分项工程的质量评定（一次或分数次）由施工单位验收合格后填写“分项工程质量检验评定表”，按照“验标”规定的验收等级和责任划分进行验收。验收方法包括现场实地抽查、核查出厂证件、试验报告、施工记录等有关资料。分项工程全部施工完毕后，方可进行分项工程质量评定。分项工程质量检验评定表综合记录应由专业工程技术人员提出，施工分包人核查评定，属四级验收项目则应由承包人和发包人方（或监理方）共同核签。</w:t>
      </w:r>
    </w:p>
    <w:p w14:paraId="024991C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2.2.2 分部工程的质量评定</w:t>
      </w:r>
    </w:p>
    <w:p w14:paraId="431CEE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在所含分项工程全部完工并签证了“分项工程质量检验评定表”的基础上由分包人负责填写“分部工程质量检验评定表”并审核评定，由承包人和发包人方（或监理方）核签。</w:t>
      </w:r>
    </w:p>
    <w:p w14:paraId="122EB2B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2.2.3 单位工程的质量评定</w:t>
      </w:r>
    </w:p>
    <w:p w14:paraId="2B144FC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在所含分部工程全部完工并签证了“分部工程质量检验评定表”后，由该项目分包人填写“单位工程质量检验评定表”，由承包人和发包人方（监理方）核签。</w:t>
      </w:r>
    </w:p>
    <w:p w14:paraId="5CC272F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 发包人方（或监理方）、承包人必须参加四级验收，四级验收项目一般按“验标”规定执行，发包人方和承包人可根据工程实际情况，适当扩大四级验收范围；其余一、二、三级由施工单位分包人自检，承包人与发包人方（或监理）可以进行抽查。</w:t>
      </w:r>
    </w:p>
    <w:p w14:paraId="26B8F5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2.4隐蔽工程验收</w:t>
      </w:r>
    </w:p>
    <w:p w14:paraId="73F86B5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2.4.1 隐蔽工程完工，并具备验收的基本条件。</w:t>
      </w:r>
    </w:p>
    <w:p w14:paraId="7CC4DC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2.4.2 现场实地抽查施工记录。抽查时施工分包人应出具技术资料。</w:t>
      </w:r>
    </w:p>
    <w:p w14:paraId="4024C5E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2.4.3 工程验收合格并签证后方可隐蔽，进行下道工序作业。隐蔽项目一经签证，不得自行变动部件尺寸、位置。</w:t>
      </w:r>
    </w:p>
    <w:p w14:paraId="51901E5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2.4.4 遇有下列情况，隐蔽验收工作暂缓：</w:t>
      </w:r>
    </w:p>
    <w:p w14:paraId="6BD6AAB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隐蔽工作项目未全部完成，主要技术记录不完整或失真。</w:t>
      </w:r>
    </w:p>
    <w:p w14:paraId="27E3E30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2.4.5. 隐蔽工程验收表格采用“隐蔽工序验收签证书”（安装工程）和“隐蔽工程验收记录”（土建工程）以及有关制造厂提供的出厂验收记录表等。</w:t>
      </w:r>
    </w:p>
    <w:p w14:paraId="603633F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2.4.6. 隐蔽验收工作出现下列情况的处理原则：</w:t>
      </w:r>
    </w:p>
    <w:p w14:paraId="39E8AF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2.4.6.1 发包人方（或监理）事前确已接到书面通知，但未按时派员到场验收，可自行验收并隐蔽，但必须做好记录。</w:t>
      </w:r>
    </w:p>
    <w:p w14:paraId="2A77EB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2.4.6.2 承包人未通知检查验收，或经检查验收发现问题不按要求消缺处理的，不能进行隐蔽，不能进行下道工序作业。否则有权通知施工分承包人停工。</w:t>
      </w:r>
    </w:p>
    <w:p w14:paraId="108D75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 3.经发包人方（或监理）正式认可。</w:t>
      </w:r>
    </w:p>
    <w:p w14:paraId="3146FB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 3.1 凡单位工程的地基验收，以及隐蔽工程验收，工程项目的质量必须符合国家现行的规范要求和部颁“验标”规定，同时必须提供竣工验收资料， 经各有关单位共同会签后生效，下道工序才能进行。</w:t>
      </w:r>
    </w:p>
    <w:p w14:paraId="10B780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 3.2建设工程项目要实行中间验收，土建交安装要办理中间验收签证手续。</w:t>
      </w:r>
    </w:p>
    <w:p w14:paraId="2BE268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3.3质监中心站、质监站检查验收的项目，必须得到相应验收确认。</w:t>
      </w:r>
    </w:p>
    <w:p w14:paraId="6A303E7A">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bookmarkStart w:id="1049" w:name="_Toc27724"/>
      <w:bookmarkStart w:id="1050" w:name="_Toc28896"/>
      <w:bookmarkStart w:id="1051" w:name="_Toc5927"/>
      <w:bookmarkStart w:id="1052" w:name="_Toc67789039"/>
      <w:bookmarkStart w:id="1053" w:name="_Toc18830"/>
      <w:bookmarkStart w:id="1054" w:name="_Toc26886"/>
      <w:r>
        <w:rPr>
          <w:rFonts w:hint="eastAsia" w:ascii="黑体" w:hAnsi="宋体" w:eastAsia="黑体" w:cs="黑体"/>
          <w:color w:val="000000"/>
          <w:sz w:val="28"/>
          <w:szCs w:val="28"/>
        </w:rPr>
        <w:t>附件九  合同价格表</w:t>
      </w:r>
      <w:bookmarkEnd w:id="1049"/>
      <w:bookmarkEnd w:id="1050"/>
      <w:bookmarkEnd w:id="1051"/>
      <w:bookmarkEnd w:id="1052"/>
      <w:bookmarkEnd w:id="1053"/>
      <w:bookmarkEnd w:id="1054"/>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2636"/>
        <w:gridCol w:w="1548"/>
        <w:gridCol w:w="1325"/>
        <w:gridCol w:w="1752"/>
      </w:tblGrid>
      <w:tr w14:paraId="2C04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CellSpacing w:w="0" w:type="dxa"/>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D17D5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2"/>
                <w:szCs w:val="22"/>
                <w:bdr w:val="none" w:color="auto" w:sz="0" w:space="0"/>
              </w:rPr>
              <w:t>序号</w:t>
            </w:r>
          </w:p>
        </w:tc>
        <w:tc>
          <w:tcPr>
            <w:tcW w:w="2636" w:type="dxa"/>
            <w:tcBorders>
              <w:top w:val="single" w:color="000000" w:sz="8" w:space="0"/>
              <w:left w:val="nil"/>
              <w:bottom w:val="single" w:color="000000" w:sz="8" w:space="0"/>
              <w:right w:val="single" w:color="000000" w:sz="8" w:space="0"/>
            </w:tcBorders>
            <w:shd w:val="clear" w:color="auto" w:fill="FFFFFF"/>
            <w:vAlign w:val="center"/>
          </w:tcPr>
          <w:p w14:paraId="620330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2"/>
                <w:szCs w:val="22"/>
                <w:bdr w:val="none" w:color="auto" w:sz="0" w:space="0"/>
              </w:rPr>
              <w:t>项目</w:t>
            </w:r>
          </w:p>
        </w:tc>
        <w:tc>
          <w:tcPr>
            <w:tcW w:w="1548" w:type="dxa"/>
            <w:tcBorders>
              <w:top w:val="single" w:color="000000" w:sz="8" w:space="0"/>
              <w:left w:val="nil"/>
              <w:bottom w:val="single" w:color="000000" w:sz="8" w:space="0"/>
              <w:right w:val="single" w:color="000000" w:sz="8" w:space="0"/>
            </w:tcBorders>
            <w:shd w:val="clear" w:color="auto" w:fill="FFFFFF"/>
            <w:vAlign w:val="center"/>
          </w:tcPr>
          <w:p w14:paraId="1AEAF2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2"/>
                <w:szCs w:val="22"/>
                <w:bdr w:val="none" w:color="auto" w:sz="0" w:space="0"/>
              </w:rPr>
              <w:t>【】MW合同价格</w:t>
            </w:r>
          </w:p>
        </w:tc>
        <w:tc>
          <w:tcPr>
            <w:tcW w:w="1325" w:type="dxa"/>
            <w:tcBorders>
              <w:top w:val="single" w:color="000000" w:sz="8" w:space="0"/>
              <w:left w:val="nil"/>
              <w:bottom w:val="single" w:color="000000" w:sz="8" w:space="0"/>
              <w:right w:val="single" w:color="000000" w:sz="8" w:space="0"/>
            </w:tcBorders>
            <w:shd w:val="clear" w:color="auto" w:fill="FFFFFF"/>
            <w:vAlign w:val="center"/>
          </w:tcPr>
          <w:p w14:paraId="35B9A7D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2"/>
                <w:szCs w:val="22"/>
                <w:bdr w:val="none" w:color="auto" w:sz="0" w:space="0"/>
              </w:rPr>
              <w:t>【】MW合同价格</w:t>
            </w:r>
          </w:p>
        </w:tc>
        <w:tc>
          <w:tcPr>
            <w:tcW w:w="1752" w:type="dxa"/>
            <w:tcBorders>
              <w:top w:val="single" w:color="000000" w:sz="8" w:space="0"/>
              <w:left w:val="nil"/>
              <w:bottom w:val="single" w:color="000000" w:sz="8" w:space="0"/>
              <w:right w:val="single" w:color="000000" w:sz="8" w:space="0"/>
            </w:tcBorders>
            <w:shd w:val="clear" w:color="auto" w:fill="FFFFFF"/>
            <w:vAlign w:val="center"/>
          </w:tcPr>
          <w:p w14:paraId="78E9D98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2"/>
                <w:szCs w:val="22"/>
                <w:bdr w:val="none" w:color="auto" w:sz="0" w:space="0"/>
              </w:rPr>
              <w:t>合计价格（万）</w:t>
            </w:r>
          </w:p>
        </w:tc>
      </w:tr>
      <w:tr w14:paraId="7AF5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3653E8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2"/>
                <w:szCs w:val="22"/>
                <w:bdr w:val="none" w:color="auto" w:sz="0" w:space="0"/>
              </w:rPr>
              <w:t>1</w:t>
            </w:r>
          </w:p>
        </w:tc>
        <w:tc>
          <w:tcPr>
            <w:tcW w:w="2636" w:type="dxa"/>
            <w:tcBorders>
              <w:top w:val="nil"/>
              <w:left w:val="nil"/>
              <w:bottom w:val="single" w:color="000000" w:sz="8" w:space="0"/>
              <w:right w:val="single" w:color="000000" w:sz="8" w:space="0"/>
            </w:tcBorders>
            <w:shd w:val="clear" w:color="auto" w:fill="FFFFFF"/>
            <w:vAlign w:val="center"/>
          </w:tcPr>
          <w:p w14:paraId="15D181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2"/>
                <w:szCs w:val="22"/>
                <w:bdr w:val="none" w:color="auto" w:sz="0" w:space="0"/>
              </w:rPr>
              <w:t>EPC合同总价</w:t>
            </w:r>
          </w:p>
        </w:tc>
        <w:tc>
          <w:tcPr>
            <w:tcW w:w="1548" w:type="dxa"/>
            <w:tcBorders>
              <w:top w:val="nil"/>
              <w:left w:val="nil"/>
              <w:bottom w:val="single" w:color="000000" w:sz="8" w:space="0"/>
              <w:right w:val="single" w:color="000000" w:sz="8" w:space="0"/>
            </w:tcBorders>
            <w:shd w:val="clear" w:color="auto" w:fill="FFFFFF"/>
            <w:vAlign w:val="center"/>
          </w:tcPr>
          <w:p w14:paraId="5CAC47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12B4BD3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40FD81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0A47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41DFF1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2"/>
                <w:szCs w:val="22"/>
                <w:bdr w:val="none" w:color="auto" w:sz="0" w:space="0"/>
              </w:rPr>
              <w:t>2</w:t>
            </w:r>
          </w:p>
        </w:tc>
        <w:tc>
          <w:tcPr>
            <w:tcW w:w="2636" w:type="dxa"/>
            <w:tcBorders>
              <w:top w:val="nil"/>
              <w:left w:val="nil"/>
              <w:bottom w:val="single" w:color="000000" w:sz="8" w:space="0"/>
              <w:right w:val="single" w:color="000000" w:sz="8" w:space="0"/>
            </w:tcBorders>
            <w:shd w:val="clear" w:color="auto" w:fill="FFFFFF"/>
            <w:vAlign w:val="center"/>
          </w:tcPr>
          <w:p w14:paraId="304BF10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2"/>
                <w:szCs w:val="22"/>
                <w:bdr w:val="none" w:color="auto" w:sz="0" w:space="0"/>
              </w:rPr>
              <w:t>设备费</w:t>
            </w:r>
          </w:p>
        </w:tc>
        <w:tc>
          <w:tcPr>
            <w:tcW w:w="1548" w:type="dxa"/>
            <w:tcBorders>
              <w:top w:val="nil"/>
              <w:left w:val="nil"/>
              <w:bottom w:val="single" w:color="000000" w:sz="8" w:space="0"/>
              <w:right w:val="single" w:color="000000" w:sz="8" w:space="0"/>
            </w:tcBorders>
            <w:shd w:val="clear" w:color="auto" w:fill="FFFFFF"/>
            <w:vAlign w:val="center"/>
          </w:tcPr>
          <w:p w14:paraId="6FC6DE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5F9752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60F510A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01FC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312029C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2"/>
                <w:szCs w:val="22"/>
                <w:bdr w:val="none" w:color="auto" w:sz="0" w:space="0"/>
              </w:rPr>
              <w:t>3</w:t>
            </w:r>
          </w:p>
        </w:tc>
        <w:tc>
          <w:tcPr>
            <w:tcW w:w="2636" w:type="dxa"/>
            <w:tcBorders>
              <w:top w:val="nil"/>
              <w:left w:val="nil"/>
              <w:bottom w:val="single" w:color="000000" w:sz="8" w:space="0"/>
              <w:right w:val="single" w:color="000000" w:sz="8" w:space="0"/>
            </w:tcBorders>
            <w:shd w:val="clear" w:color="auto" w:fill="FFFFFF"/>
            <w:vAlign w:val="center"/>
          </w:tcPr>
          <w:p w14:paraId="6C427D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2"/>
                <w:szCs w:val="22"/>
                <w:bdr w:val="none" w:color="auto" w:sz="0" w:space="0"/>
              </w:rPr>
              <w:t>建筑安装工程</w:t>
            </w:r>
          </w:p>
        </w:tc>
        <w:tc>
          <w:tcPr>
            <w:tcW w:w="1548" w:type="dxa"/>
            <w:tcBorders>
              <w:top w:val="nil"/>
              <w:left w:val="nil"/>
              <w:bottom w:val="single" w:color="000000" w:sz="8" w:space="0"/>
              <w:right w:val="single" w:color="000000" w:sz="8" w:space="0"/>
            </w:tcBorders>
            <w:shd w:val="clear" w:color="auto" w:fill="FFFFFF"/>
            <w:vAlign w:val="center"/>
          </w:tcPr>
          <w:p w14:paraId="4DB72F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5471070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5804BE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60F8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54AE07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2636" w:type="dxa"/>
            <w:tcBorders>
              <w:top w:val="nil"/>
              <w:left w:val="nil"/>
              <w:bottom w:val="single" w:color="000000" w:sz="8" w:space="0"/>
              <w:right w:val="single" w:color="000000" w:sz="8" w:space="0"/>
            </w:tcBorders>
            <w:shd w:val="clear" w:color="auto" w:fill="FFFFFF"/>
            <w:vAlign w:val="center"/>
          </w:tcPr>
          <w:p w14:paraId="4B1881C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pPr>
            <w:r>
              <w:rPr>
                <w:rFonts w:hint="eastAsia" w:ascii="宋体" w:hAnsi="宋体" w:eastAsia="宋体" w:cs="宋体"/>
                <w:color w:val="000000"/>
                <w:sz w:val="22"/>
                <w:szCs w:val="22"/>
                <w:bdr w:val="none" w:color="auto" w:sz="0" w:space="0"/>
              </w:rPr>
              <w:t>其中：光伏建筑工程费</w:t>
            </w:r>
          </w:p>
        </w:tc>
        <w:tc>
          <w:tcPr>
            <w:tcW w:w="1548" w:type="dxa"/>
            <w:tcBorders>
              <w:top w:val="nil"/>
              <w:left w:val="nil"/>
              <w:bottom w:val="single" w:color="000000" w:sz="8" w:space="0"/>
              <w:right w:val="single" w:color="000000" w:sz="8" w:space="0"/>
            </w:tcBorders>
            <w:shd w:val="clear" w:color="auto" w:fill="FFFFFF"/>
            <w:vAlign w:val="center"/>
          </w:tcPr>
          <w:p w14:paraId="5903C3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5FA3DF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756373C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7221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019FFC1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2636" w:type="dxa"/>
            <w:tcBorders>
              <w:top w:val="nil"/>
              <w:left w:val="nil"/>
              <w:bottom w:val="single" w:color="000000" w:sz="8" w:space="0"/>
              <w:right w:val="single" w:color="000000" w:sz="8" w:space="0"/>
            </w:tcBorders>
            <w:shd w:val="clear" w:color="auto" w:fill="FFFFFF"/>
            <w:vAlign w:val="center"/>
          </w:tcPr>
          <w:p w14:paraId="238599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pPr>
            <w:r>
              <w:rPr>
                <w:rFonts w:hint="eastAsia" w:ascii="宋体" w:hAnsi="宋体" w:eastAsia="宋体" w:cs="宋体"/>
                <w:color w:val="000000"/>
                <w:sz w:val="22"/>
                <w:szCs w:val="22"/>
                <w:bdr w:val="none" w:color="auto" w:sz="0" w:space="0"/>
              </w:rPr>
              <w:t>储能建筑工程费</w:t>
            </w:r>
          </w:p>
        </w:tc>
        <w:tc>
          <w:tcPr>
            <w:tcW w:w="1548" w:type="dxa"/>
            <w:tcBorders>
              <w:top w:val="nil"/>
              <w:left w:val="nil"/>
              <w:bottom w:val="single" w:color="000000" w:sz="8" w:space="0"/>
              <w:right w:val="single" w:color="000000" w:sz="8" w:space="0"/>
            </w:tcBorders>
            <w:shd w:val="clear" w:color="auto" w:fill="FFFFFF"/>
            <w:vAlign w:val="center"/>
          </w:tcPr>
          <w:p w14:paraId="707F21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3E0097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04CCD7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0427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59D2A1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2636" w:type="dxa"/>
            <w:tcBorders>
              <w:top w:val="nil"/>
              <w:left w:val="nil"/>
              <w:bottom w:val="single" w:color="000000" w:sz="8" w:space="0"/>
              <w:right w:val="single" w:color="000000" w:sz="8" w:space="0"/>
            </w:tcBorders>
            <w:shd w:val="clear" w:color="auto" w:fill="FFFFFF"/>
            <w:vAlign w:val="center"/>
          </w:tcPr>
          <w:p w14:paraId="5FD82D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pPr>
            <w:r>
              <w:rPr>
                <w:rFonts w:hint="eastAsia" w:ascii="宋体" w:hAnsi="宋体" w:eastAsia="宋体" w:cs="宋体"/>
                <w:color w:val="000000"/>
                <w:sz w:val="22"/>
                <w:szCs w:val="22"/>
                <w:bdr w:val="none" w:color="auto" w:sz="0" w:space="0"/>
              </w:rPr>
              <w:t>光伏安装工程费</w:t>
            </w:r>
          </w:p>
        </w:tc>
        <w:tc>
          <w:tcPr>
            <w:tcW w:w="1548" w:type="dxa"/>
            <w:tcBorders>
              <w:top w:val="nil"/>
              <w:left w:val="nil"/>
              <w:bottom w:val="single" w:color="000000" w:sz="8" w:space="0"/>
              <w:right w:val="single" w:color="000000" w:sz="8" w:space="0"/>
            </w:tcBorders>
            <w:shd w:val="clear" w:color="auto" w:fill="FFFFFF"/>
            <w:vAlign w:val="center"/>
          </w:tcPr>
          <w:p w14:paraId="4F1800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5DC22D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73819F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1364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3DF30AD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2636" w:type="dxa"/>
            <w:tcBorders>
              <w:top w:val="nil"/>
              <w:left w:val="nil"/>
              <w:bottom w:val="single" w:color="000000" w:sz="8" w:space="0"/>
              <w:right w:val="single" w:color="000000" w:sz="8" w:space="0"/>
            </w:tcBorders>
            <w:shd w:val="clear" w:color="auto" w:fill="FFFFFF"/>
            <w:vAlign w:val="center"/>
          </w:tcPr>
          <w:p w14:paraId="65AA23A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pPr>
            <w:r>
              <w:rPr>
                <w:rFonts w:hint="eastAsia" w:ascii="宋体" w:hAnsi="宋体" w:eastAsia="宋体" w:cs="宋体"/>
                <w:color w:val="000000"/>
                <w:sz w:val="22"/>
                <w:szCs w:val="22"/>
                <w:bdr w:val="none" w:color="auto" w:sz="0" w:space="0"/>
              </w:rPr>
              <w:t>储能安装工程费</w:t>
            </w:r>
          </w:p>
        </w:tc>
        <w:tc>
          <w:tcPr>
            <w:tcW w:w="1548" w:type="dxa"/>
            <w:tcBorders>
              <w:top w:val="nil"/>
              <w:left w:val="nil"/>
              <w:bottom w:val="single" w:color="000000" w:sz="8" w:space="0"/>
              <w:right w:val="single" w:color="000000" w:sz="8" w:space="0"/>
            </w:tcBorders>
            <w:shd w:val="clear" w:color="auto" w:fill="FFFFFF"/>
            <w:vAlign w:val="center"/>
          </w:tcPr>
          <w:p w14:paraId="4BE56B4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09737B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49B98C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13E1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395955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2636" w:type="dxa"/>
            <w:tcBorders>
              <w:top w:val="nil"/>
              <w:left w:val="nil"/>
              <w:bottom w:val="single" w:color="000000" w:sz="8" w:space="0"/>
              <w:right w:val="single" w:color="000000" w:sz="8" w:space="0"/>
            </w:tcBorders>
            <w:shd w:val="clear" w:color="auto" w:fill="FFFFFF"/>
            <w:vAlign w:val="center"/>
          </w:tcPr>
          <w:p w14:paraId="5D8BE5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pPr>
            <w:r>
              <w:rPr>
                <w:rFonts w:hint="eastAsia" w:ascii="宋体" w:hAnsi="宋体" w:eastAsia="宋体" w:cs="宋体"/>
                <w:color w:val="000000"/>
                <w:sz w:val="22"/>
                <w:szCs w:val="22"/>
                <w:bdr w:val="none" w:color="auto" w:sz="0" w:space="0"/>
              </w:rPr>
              <w:t>送出工程费用</w:t>
            </w:r>
          </w:p>
        </w:tc>
        <w:tc>
          <w:tcPr>
            <w:tcW w:w="1548" w:type="dxa"/>
            <w:tcBorders>
              <w:top w:val="nil"/>
              <w:left w:val="nil"/>
              <w:bottom w:val="single" w:color="000000" w:sz="8" w:space="0"/>
              <w:right w:val="single" w:color="000000" w:sz="8" w:space="0"/>
            </w:tcBorders>
            <w:shd w:val="clear" w:color="auto" w:fill="FFFFFF"/>
            <w:vAlign w:val="center"/>
          </w:tcPr>
          <w:p w14:paraId="4AA1DC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3206957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409F0A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0B82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2721B7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2636" w:type="dxa"/>
            <w:tcBorders>
              <w:top w:val="nil"/>
              <w:left w:val="nil"/>
              <w:bottom w:val="single" w:color="000000" w:sz="8" w:space="0"/>
              <w:right w:val="single" w:color="000000" w:sz="8" w:space="0"/>
            </w:tcBorders>
            <w:shd w:val="clear" w:color="auto" w:fill="FFFFFF"/>
            <w:vAlign w:val="center"/>
          </w:tcPr>
          <w:p w14:paraId="51F62D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pPr>
            <w:r>
              <w:rPr>
                <w:rFonts w:hint="eastAsia" w:ascii="宋体" w:hAnsi="宋体" w:eastAsia="宋体" w:cs="宋体"/>
                <w:color w:val="000000"/>
                <w:sz w:val="22"/>
                <w:szCs w:val="22"/>
                <w:bdr w:val="none" w:color="auto" w:sz="0" w:space="0"/>
              </w:rPr>
              <w:t>基本预备费</w:t>
            </w:r>
          </w:p>
        </w:tc>
        <w:tc>
          <w:tcPr>
            <w:tcW w:w="1548" w:type="dxa"/>
            <w:tcBorders>
              <w:top w:val="nil"/>
              <w:left w:val="nil"/>
              <w:bottom w:val="single" w:color="000000" w:sz="8" w:space="0"/>
              <w:right w:val="single" w:color="000000" w:sz="8" w:space="0"/>
            </w:tcBorders>
            <w:shd w:val="clear" w:color="auto" w:fill="FFFFFF"/>
            <w:vAlign w:val="center"/>
          </w:tcPr>
          <w:p w14:paraId="0B652D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70776C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1FA318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37E6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2F0F216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2"/>
                <w:szCs w:val="22"/>
                <w:bdr w:val="none" w:color="auto" w:sz="0" w:space="0"/>
              </w:rPr>
              <w:t>4</w:t>
            </w:r>
          </w:p>
        </w:tc>
        <w:tc>
          <w:tcPr>
            <w:tcW w:w="2636" w:type="dxa"/>
            <w:tcBorders>
              <w:top w:val="nil"/>
              <w:left w:val="nil"/>
              <w:bottom w:val="single" w:color="000000" w:sz="8" w:space="0"/>
              <w:right w:val="single" w:color="000000" w:sz="8" w:space="0"/>
            </w:tcBorders>
            <w:shd w:val="clear" w:color="auto" w:fill="FFFFFF"/>
            <w:vAlign w:val="center"/>
          </w:tcPr>
          <w:p w14:paraId="59E67AF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2"/>
                <w:szCs w:val="22"/>
                <w:bdr w:val="none" w:color="auto" w:sz="0" w:space="0"/>
              </w:rPr>
              <w:t>其他费用</w:t>
            </w:r>
          </w:p>
        </w:tc>
        <w:tc>
          <w:tcPr>
            <w:tcW w:w="1548" w:type="dxa"/>
            <w:tcBorders>
              <w:top w:val="nil"/>
              <w:left w:val="nil"/>
              <w:bottom w:val="single" w:color="000000" w:sz="8" w:space="0"/>
              <w:right w:val="single" w:color="000000" w:sz="8" w:space="0"/>
            </w:tcBorders>
            <w:shd w:val="clear" w:color="auto" w:fill="FFFFFF"/>
            <w:vAlign w:val="center"/>
          </w:tcPr>
          <w:p w14:paraId="1DF004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5AF68B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47D933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7C11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71160B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2636" w:type="dxa"/>
            <w:tcBorders>
              <w:top w:val="nil"/>
              <w:left w:val="nil"/>
              <w:bottom w:val="single" w:color="000000" w:sz="8" w:space="0"/>
              <w:right w:val="single" w:color="000000" w:sz="8" w:space="0"/>
            </w:tcBorders>
            <w:shd w:val="clear" w:color="auto" w:fill="FFFFFF"/>
            <w:vAlign w:val="center"/>
          </w:tcPr>
          <w:p w14:paraId="1167DE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宋体" w:hAnsi="宋体" w:eastAsia="宋体" w:cs="宋体"/>
                <w:color w:val="000000"/>
                <w:sz w:val="22"/>
                <w:szCs w:val="22"/>
                <w:bdr w:val="none" w:color="auto" w:sz="0" w:space="0"/>
              </w:rPr>
              <w:t>其中：光伏项目其他费用</w:t>
            </w:r>
          </w:p>
        </w:tc>
        <w:tc>
          <w:tcPr>
            <w:tcW w:w="1548" w:type="dxa"/>
            <w:tcBorders>
              <w:top w:val="nil"/>
              <w:left w:val="nil"/>
              <w:bottom w:val="single" w:color="000000" w:sz="8" w:space="0"/>
              <w:right w:val="single" w:color="000000" w:sz="8" w:space="0"/>
            </w:tcBorders>
            <w:shd w:val="clear" w:color="auto" w:fill="FFFFFF"/>
            <w:vAlign w:val="center"/>
          </w:tcPr>
          <w:p w14:paraId="1D91316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64A5B7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0C3B7C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14:paraId="6B3C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CellSpacing w:w="0" w:type="dxa"/>
          <w:jc w:val="center"/>
        </w:trPr>
        <w:tc>
          <w:tcPr>
            <w:tcW w:w="1080" w:type="dxa"/>
            <w:tcBorders>
              <w:top w:val="nil"/>
              <w:left w:val="single" w:color="000000" w:sz="8" w:space="0"/>
              <w:bottom w:val="single" w:color="000000" w:sz="8" w:space="0"/>
              <w:right w:val="single" w:color="000000" w:sz="8" w:space="0"/>
            </w:tcBorders>
            <w:shd w:val="clear" w:color="auto" w:fill="FFFFFF"/>
            <w:vAlign w:val="center"/>
          </w:tcPr>
          <w:p w14:paraId="157E06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bdr w:val="none" w:color="auto" w:sz="0" w:space="0"/>
              </w:rPr>
              <w:t> </w:t>
            </w:r>
          </w:p>
        </w:tc>
        <w:tc>
          <w:tcPr>
            <w:tcW w:w="2636" w:type="dxa"/>
            <w:tcBorders>
              <w:top w:val="nil"/>
              <w:left w:val="nil"/>
              <w:bottom w:val="single" w:color="000000" w:sz="8" w:space="0"/>
              <w:right w:val="single" w:color="000000" w:sz="8" w:space="0"/>
            </w:tcBorders>
            <w:shd w:val="clear" w:color="auto" w:fill="FFFFFF"/>
            <w:vAlign w:val="center"/>
          </w:tcPr>
          <w:p w14:paraId="062F1E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pPr>
            <w:r>
              <w:rPr>
                <w:rFonts w:hint="eastAsia" w:ascii="宋体" w:hAnsi="宋体" w:eastAsia="宋体" w:cs="宋体"/>
                <w:color w:val="000000"/>
                <w:sz w:val="22"/>
                <w:szCs w:val="22"/>
                <w:bdr w:val="none" w:color="auto" w:sz="0" w:space="0"/>
              </w:rPr>
              <w:t>储能设备其他费用</w:t>
            </w:r>
          </w:p>
        </w:tc>
        <w:tc>
          <w:tcPr>
            <w:tcW w:w="1548" w:type="dxa"/>
            <w:tcBorders>
              <w:top w:val="nil"/>
              <w:left w:val="nil"/>
              <w:bottom w:val="single" w:color="000000" w:sz="8" w:space="0"/>
              <w:right w:val="single" w:color="000000" w:sz="8" w:space="0"/>
            </w:tcBorders>
            <w:shd w:val="clear" w:color="auto" w:fill="FFFFFF"/>
            <w:vAlign w:val="center"/>
          </w:tcPr>
          <w:p w14:paraId="181FE8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325" w:type="dxa"/>
            <w:tcBorders>
              <w:top w:val="nil"/>
              <w:left w:val="nil"/>
              <w:bottom w:val="single" w:color="000000" w:sz="8" w:space="0"/>
              <w:right w:val="single" w:color="000000" w:sz="8" w:space="0"/>
            </w:tcBorders>
            <w:shd w:val="clear" w:color="auto" w:fill="FFFFFF"/>
            <w:vAlign w:val="center"/>
          </w:tcPr>
          <w:p w14:paraId="052D1D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752" w:type="dxa"/>
            <w:tcBorders>
              <w:top w:val="nil"/>
              <w:left w:val="nil"/>
              <w:bottom w:val="single" w:color="000000" w:sz="8" w:space="0"/>
              <w:right w:val="single" w:color="000000" w:sz="8" w:space="0"/>
            </w:tcBorders>
            <w:shd w:val="clear" w:color="auto" w:fill="FFFFFF"/>
            <w:vAlign w:val="center"/>
          </w:tcPr>
          <w:p w14:paraId="035799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bl>
    <w:p w14:paraId="6F2331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p w14:paraId="4B9CBB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59"/>
        </w:tabs>
        <w:spacing w:before="0" w:beforeAutospacing="0" w:after="0" w:afterAutospacing="0"/>
      </w:pPr>
      <w:r>
        <w:rPr>
          <w:rFonts w:hint="default" w:ascii="Times New Roman" w:hAnsi="Times New Roman" w:cs="Times New Roman"/>
          <w:color w:val="000000"/>
          <w:sz w:val="30"/>
          <w:szCs w:val="30"/>
        </w:rPr>
        <w:tab/>
      </w:r>
    </w:p>
    <w:p w14:paraId="1073AA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9559"/>
        </w:tabs>
        <w:spacing w:before="0" w:beforeAutospacing="0" w:after="0" w:afterAutospacing="0"/>
        <w:ind w:left="0" w:firstLine="200"/>
      </w:pPr>
      <w:r>
        <w:rPr>
          <w:rFonts w:hint="eastAsia" w:ascii="黑体" w:hAnsi="宋体" w:eastAsia="黑体" w:cs="黑体"/>
          <w:color w:val="000000"/>
          <w:sz w:val="24"/>
          <w:szCs w:val="24"/>
        </w:rPr>
        <w:t>附件十  设备及安装工程合同价格明细</w:t>
      </w:r>
    </w:p>
    <w:p w14:paraId="70CE814A">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707C8B8D">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3F486D43">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5399CA03">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68221435">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41043F65">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35A9136F">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7E54BC13">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1ECB54E0">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65ECA527">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497E5170">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54DF9CCA">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012F9B27">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2D66B289">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063F66AE">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14:paraId="20CBD422">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11A6755C">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2FDA4BB0">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63E14D92">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36946DDA">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6B0545A5">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3A3BE23D">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2C260574">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eastAsia" w:ascii="黑体" w:hAnsi="宋体" w:eastAsia="黑体" w:cs="黑体"/>
          <w:color w:val="000000"/>
          <w:sz w:val="28"/>
          <w:szCs w:val="28"/>
        </w:rPr>
        <w:t>附件十一  建筑工程合同价格明细</w:t>
      </w:r>
    </w:p>
    <w:p w14:paraId="056F09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p w14:paraId="6C935D55">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Arial" w:hAnsi="Arial" w:cs="Arial"/>
          <w:color w:val="000000"/>
          <w:sz w:val="28"/>
          <w:szCs w:val="28"/>
        </w:rPr>
        <w:br w:type="page"/>
      </w:r>
      <w:r>
        <w:rPr>
          <w:rFonts w:hint="default" w:ascii="Arial" w:hAnsi="Arial" w:cs="Arial"/>
          <w:color w:val="000000"/>
          <w:sz w:val="28"/>
          <w:szCs w:val="28"/>
        </w:rPr>
        <w:t> </w:t>
      </w:r>
      <w:r>
        <w:rPr>
          <w:rFonts w:hint="eastAsia" w:ascii="黑体" w:hAnsi="宋体" w:eastAsia="黑体" w:cs="黑体"/>
          <w:color w:val="000000"/>
          <w:sz w:val="28"/>
          <w:szCs w:val="28"/>
        </w:rPr>
        <w:t>附件十二  其他费用合同价格说明</w:t>
      </w:r>
    </w:p>
    <w:p w14:paraId="5EC2463E">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3C6DEE1A">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4FEDE339">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31056026">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1123A24F">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13EEE239">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79C8FE76">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02528D31">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03BA1364">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4292E303">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311EA8FB">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2B3CDCFD">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55A65492">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2FFBC897">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21F0C362">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66394D75">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bdr w:val="none" w:color="auto" w:sz="0" w:space="0"/>
        </w:rPr>
        <w:t> </w:t>
      </w:r>
    </w:p>
    <w:p w14:paraId="4DD5C3CB">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eastAsia" w:ascii="黑体" w:hAnsi="宋体" w:eastAsia="黑体" w:cs="黑体"/>
          <w:color w:val="000000"/>
          <w:sz w:val="28"/>
          <w:szCs w:val="28"/>
        </w:rPr>
        <w:t>附件十三  项目档案的收集、整理与归档要求</w:t>
      </w:r>
    </w:p>
    <w:p w14:paraId="64A4006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承包人应当按照国家和发包人关于档案管理的标准和规范，对本项目实施过程中形成的档案资料进行收集、整理，并于项目完工后六个月内向发包人移交归档。具体要求如下：</w:t>
      </w:r>
    </w:p>
    <w:p w14:paraId="347C088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（1）应当遵循的档案管理制度标准</w:t>
      </w:r>
    </w:p>
    <w:p w14:paraId="69ECFBF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A. GB/T 11822  科学技术档案案卷构成的一般要求；</w:t>
      </w:r>
    </w:p>
    <w:p w14:paraId="171552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B. DA/T 28  国家重大建设项目文件归档要求与档案整理规范；</w:t>
      </w:r>
    </w:p>
    <w:p w14:paraId="043C0B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C. 发包人认为本项目应当遵循的其他标准和规范。</w:t>
      </w:r>
    </w:p>
    <w:p w14:paraId="4B14E0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firstLine="400"/>
      </w:pPr>
      <w:r>
        <w:rPr>
          <w:rFonts w:hint="default" w:ascii="Calibri" w:hAnsi="Calibri" w:cs="Calibri"/>
          <w:color w:val="000000"/>
          <w:sz w:val="20"/>
          <w:szCs w:val="20"/>
        </w:rPr>
        <w:t>D.发包人的企业管理制度。</w:t>
      </w:r>
    </w:p>
    <w:p w14:paraId="688C2B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55" w:name="_Toc79760454"/>
      <w:r>
        <w:rPr>
          <w:rFonts w:hint="default" w:ascii="Calibri" w:hAnsi="Calibri" w:cs="Calibri"/>
          <w:color w:val="000000"/>
          <w:sz w:val="24"/>
          <w:szCs w:val="24"/>
        </w:rPr>
        <w:t>（2）项目档案归档范围</w:t>
      </w:r>
      <w:bookmarkEnd w:id="1055"/>
    </w:p>
    <w:p w14:paraId="776ECB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承包人应当在遵循上述档案管理制度标准基础上，根据项目工作具体内容，拟定本项目档案资料归档范围，经发包人审定后作为本项目档案收集、整理和归档的依据之一，并作为合同文本的附件之一。</w:t>
      </w:r>
    </w:p>
    <w:p w14:paraId="6126F45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bookmarkStart w:id="1056" w:name="_Toc29229"/>
      <w:bookmarkStart w:id="1057" w:name="_Toc10384"/>
      <w:bookmarkStart w:id="1058" w:name="_Toc19254"/>
      <w:bookmarkStart w:id="1059" w:name="_Toc432769931"/>
      <w:bookmarkStart w:id="1060" w:name="_Toc32266"/>
      <w:bookmarkStart w:id="1061" w:name="_Toc24921"/>
      <w:bookmarkStart w:id="1062" w:name="_Toc16482"/>
      <w:r>
        <w:rPr>
          <w:rFonts w:hint="default" w:ascii="Calibri" w:hAnsi="Calibri" w:cs="Calibri"/>
          <w:color w:val="000000"/>
          <w:sz w:val="24"/>
          <w:szCs w:val="24"/>
        </w:rPr>
        <w:br w:type="page"/>
      </w:r>
      <w:r>
        <w:rPr>
          <w:rFonts w:hint="default" w:ascii="Calibri" w:hAnsi="Calibri" w:cs="Calibri"/>
          <w:color w:val="000000"/>
          <w:sz w:val="24"/>
          <w:szCs w:val="24"/>
        </w:rPr>
        <w:t> </w:t>
      </w:r>
      <w:bookmarkEnd w:id="1056"/>
      <w:bookmarkEnd w:id="1057"/>
      <w:bookmarkEnd w:id="1058"/>
      <w:bookmarkEnd w:id="1059"/>
      <w:bookmarkEnd w:id="1060"/>
      <w:bookmarkEnd w:id="1061"/>
      <w:bookmarkEnd w:id="1062"/>
    </w:p>
    <w:p w14:paraId="6F224E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jc w:val="center"/>
      </w:pPr>
      <w:r>
        <w:rPr>
          <w:bdr w:val="none" w:color="auto" w:sz="0" w:space="0"/>
        </w:rPr>
        <w:t> </w:t>
      </w:r>
    </w:p>
    <w:p w14:paraId="40DD75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jc w:val="center"/>
      </w:pPr>
      <w:r>
        <w:rPr>
          <w:rFonts w:hint="eastAsia" w:ascii="黑体" w:hAnsi="宋体" w:eastAsia="黑体" w:cs="黑体"/>
          <w:b/>
          <w:bCs/>
          <w:color w:val="000000"/>
          <w:sz w:val="32"/>
          <w:szCs w:val="32"/>
        </w:rPr>
        <w:t>第四节   技术文件</w:t>
      </w:r>
    </w:p>
    <w:p w14:paraId="55F9B0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0"/>
      </w:pPr>
      <w:r>
        <w:rPr>
          <w:bdr w:val="none" w:color="auto" w:sz="0" w:space="0"/>
        </w:rPr>
        <w:t> </w:t>
      </w:r>
    </w:p>
    <w:p w14:paraId="470E16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pPr>
      <w:bookmarkStart w:id="1063" w:name="_Toc24679"/>
      <w:bookmarkStart w:id="1064" w:name="_Toc760"/>
      <w:bookmarkStart w:id="1065" w:name="_Toc79760480"/>
      <w:bookmarkStart w:id="1066" w:name="_Toc30566"/>
      <w:bookmarkStart w:id="1067" w:name="_Toc476"/>
      <w:bookmarkStart w:id="1068" w:name="_Toc1440"/>
      <w:bookmarkStart w:id="1069" w:name="_Toc20680"/>
      <w:r>
        <w:rPr>
          <w:rFonts w:hint="eastAsia" w:ascii="黑体" w:hAnsi="宋体" w:eastAsia="黑体" w:cs="黑体"/>
          <w:color w:val="000000"/>
          <w:sz w:val="28"/>
          <w:szCs w:val="28"/>
        </w:rPr>
        <w:t>1．总则</w:t>
      </w:r>
      <w:bookmarkEnd w:id="1063"/>
      <w:bookmarkEnd w:id="1064"/>
      <w:bookmarkEnd w:id="1065"/>
      <w:bookmarkEnd w:id="1066"/>
      <w:bookmarkEnd w:id="1067"/>
      <w:bookmarkEnd w:id="1068"/>
      <w:bookmarkEnd w:id="1069"/>
    </w:p>
    <w:p w14:paraId="7D363C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678"/>
        </w:tabs>
        <w:spacing w:before="0" w:beforeAutospacing="0" w:after="0" w:afterAutospacing="0" w:line="360" w:lineRule="auto"/>
        <w:ind w:left="0" w:firstLine="480"/>
      </w:pPr>
      <w:bookmarkStart w:id="1070" w:name="_Toc7357"/>
      <w:bookmarkStart w:id="1071" w:name="_Toc67789048"/>
      <w:bookmarkStart w:id="1072" w:name="_Toc31927"/>
      <w:r>
        <w:rPr>
          <w:rFonts w:hint="eastAsia" w:ascii="宋体" w:hAnsi="宋体" w:eastAsia="宋体" w:cs="宋体"/>
          <w:color w:val="000000"/>
          <w:sz w:val="24"/>
          <w:szCs w:val="24"/>
        </w:rPr>
        <w:t>1.1 概述</w:t>
      </w:r>
      <w:bookmarkEnd w:id="1070"/>
      <w:bookmarkEnd w:id="1071"/>
      <w:bookmarkEnd w:id="1072"/>
    </w:p>
    <w:p w14:paraId="35D930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678"/>
        </w:tabs>
        <w:spacing w:before="0" w:beforeAutospacing="0" w:after="0" w:afterAutospacing="0" w:line="360" w:lineRule="auto"/>
        <w:ind w:left="0" w:firstLine="480"/>
      </w:pPr>
      <w:r>
        <w:rPr>
          <w:rFonts w:hint="eastAsia" w:ascii="宋体" w:hAnsi="宋体" w:eastAsia="宋体" w:cs="宋体"/>
          <w:color w:val="0000FF"/>
          <w:sz w:val="24"/>
          <w:szCs w:val="24"/>
        </w:rPr>
        <w:t>本章的要求与设备招标时发包人确认的设备招标技术规范书不一致的地方，以设备招标时发包人确认的设备招标技术规范书为准</w:t>
      </w:r>
      <w:r>
        <w:rPr>
          <w:rFonts w:hint="eastAsia" w:ascii="宋体" w:hAnsi="宋体" w:eastAsia="宋体" w:cs="宋体"/>
          <w:color w:val="000000"/>
          <w:sz w:val="24"/>
          <w:szCs w:val="24"/>
        </w:rPr>
        <w:t>。</w:t>
      </w:r>
    </w:p>
    <w:p w14:paraId="26146A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678"/>
        </w:tabs>
        <w:spacing w:before="0" w:beforeAutospacing="0" w:after="0" w:afterAutospacing="0" w:line="360" w:lineRule="auto"/>
        <w:ind w:left="0" w:firstLine="480"/>
      </w:pPr>
      <w:bookmarkStart w:id="1073" w:name="_Toc16738"/>
      <w:bookmarkStart w:id="1074" w:name="_Toc23201"/>
      <w:bookmarkStart w:id="1075" w:name="_Toc67789049"/>
      <w:r>
        <w:rPr>
          <w:rFonts w:hint="eastAsia" w:ascii="宋体" w:hAnsi="宋体" w:eastAsia="宋体" w:cs="宋体"/>
          <w:color w:val="000000"/>
          <w:sz w:val="24"/>
          <w:szCs w:val="24"/>
        </w:rPr>
        <w:t>1.2 基本要求</w:t>
      </w:r>
      <w:bookmarkEnd w:id="1073"/>
      <w:bookmarkEnd w:id="1074"/>
      <w:bookmarkEnd w:id="1075"/>
    </w:p>
    <w:p w14:paraId="583ACC4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576"/>
        </w:tabs>
        <w:spacing w:before="0" w:beforeAutospacing="0" w:after="0" w:afterAutospacing="0" w:line="360" w:lineRule="auto"/>
        <w:ind w:left="0" w:firstLine="480"/>
      </w:pPr>
      <w:r>
        <w:rPr>
          <w:rFonts w:hint="eastAsia" w:ascii="宋体" w:hAnsi="宋体" w:eastAsia="宋体" w:cs="宋体"/>
          <w:color w:val="000000"/>
          <w:sz w:val="24"/>
          <w:szCs w:val="24"/>
        </w:rPr>
        <w:t>本规范书中提出了最低限度的技术要求，并未对一切技术细节规定所有的技术要求和适用的标准，承包人应保证提供符合本规范书和有关最新工业标准的优质产品及其相应服务。对国家有关安全、健康、环保等强制性标准，必须满足其要求。承包人提供的产品应满足本规范书的要求。</w:t>
      </w:r>
    </w:p>
    <w:p w14:paraId="1EB8EF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576"/>
        </w:tabs>
        <w:spacing w:before="0" w:beforeAutospacing="0" w:after="0" w:afterAutospacing="0" w:line="360" w:lineRule="auto"/>
        <w:ind w:left="0" w:firstLine="480"/>
      </w:pPr>
      <w:r>
        <w:rPr>
          <w:rFonts w:hint="eastAsia" w:ascii="宋体" w:hAnsi="宋体" w:eastAsia="宋体" w:cs="宋体"/>
          <w:color w:val="000000"/>
          <w:sz w:val="24"/>
          <w:szCs w:val="24"/>
        </w:rPr>
        <w:t>本电站的设备供货、施工及安装必须满足国家及地方有关质量、施工安装、安全、健康、环保、水保、消防及等强制性标准及规范的要求。具体内容在第一次设计联络会上讨论确定。</w:t>
      </w:r>
    </w:p>
    <w:p w14:paraId="68E80A4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eastAsia" w:ascii="宋体" w:hAnsi="宋体" w:eastAsia="宋体" w:cs="宋体"/>
          <w:color w:val="000000"/>
          <w:sz w:val="24"/>
          <w:szCs w:val="24"/>
        </w:rPr>
        <w:t>本电站设备性能指标及整体性能指标必须满足Q/GDW617-2015《光伏电站接入电网技术规定》、GB 50794-2012《光伏发电站施工规范》、GB 50797-2012《光伏发电站设计规范》等中的所有要求。</w:t>
      </w:r>
    </w:p>
    <w:p w14:paraId="72D010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678"/>
        </w:tabs>
        <w:spacing w:before="0" w:beforeAutospacing="0" w:after="0" w:afterAutospacing="0" w:line="360" w:lineRule="auto"/>
        <w:ind w:left="0" w:firstLine="480"/>
      </w:pPr>
      <w:bookmarkStart w:id="1076" w:name="_Toc67789050"/>
      <w:bookmarkStart w:id="1077" w:name="_Toc31652"/>
      <w:bookmarkStart w:id="1078" w:name="_Toc22774"/>
      <w:r>
        <w:rPr>
          <w:rFonts w:hint="eastAsia" w:ascii="宋体" w:hAnsi="宋体" w:eastAsia="宋体" w:cs="宋体"/>
          <w:color w:val="000000"/>
          <w:sz w:val="24"/>
          <w:szCs w:val="24"/>
        </w:rPr>
        <w:t>1.3 边界条件</w:t>
      </w:r>
      <w:bookmarkEnd w:id="1076"/>
      <w:bookmarkEnd w:id="1077"/>
      <w:bookmarkEnd w:id="1078"/>
    </w:p>
    <w:p w14:paraId="36B1016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1.3.1 场址概述</w:t>
      </w:r>
    </w:p>
    <w:p w14:paraId="3A16A4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和顺县新能源+乡村振兴600MW光伏基地项目拟建场址山西省晋中市和顺县马坊乡西北侧，东经113.18°，北纬37.53°，海拔1380~1520米，拟利用马坊乡附近的闲置可利用土地建设光伏发电系统，可用面积约9488亩。项目一期建成，规划建设规模100MW（直流侧不少于120MW），接入昔阳莲花山升压站，配套完善相应扩建工程，预留后期储能位置。</w:t>
      </w:r>
    </w:p>
    <w:p w14:paraId="7539171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1.3.2场址地理位置</w:t>
      </w:r>
    </w:p>
    <w:p w14:paraId="6E9F50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项目站址位于山西省晋中市和顺县马坊乡西北侧，东经113.18°，北纬37.53°，海拔1380~1520米。直线距离和顺县城和晋中市均为40.0km，场区南有县道X346和X337通过，项目场区内有山间道路纵横交错，周边交通较为便利。</w:t>
      </w:r>
    </w:p>
    <w:p w14:paraId="389856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drawing>
          <wp:inline distT="0" distB="0" distL="114300" distR="114300">
            <wp:extent cx="5057775" cy="3400425"/>
            <wp:effectExtent l="0" t="0" r="9525" b="9525"/>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5057775" cy="3400425"/>
                    </a:xfrm>
                    <a:prstGeom prst="rect">
                      <a:avLst/>
                    </a:prstGeom>
                    <a:noFill/>
                    <a:ln w="9525">
                      <a:noFill/>
                    </a:ln>
                  </pic:spPr>
                </pic:pic>
              </a:graphicData>
            </a:graphic>
          </wp:inline>
        </w:drawing>
      </w:r>
    </w:p>
    <w:p w14:paraId="4F3B01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光伏场地所在区域（红色框内部分）地形地貌示意图</w:t>
      </w:r>
    </w:p>
    <w:p w14:paraId="4136FA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1.3.3厂址自然条件</w:t>
      </w:r>
    </w:p>
    <w:p w14:paraId="0D3F979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接入升压站为已投运升压站。</w:t>
      </w:r>
    </w:p>
    <w:p w14:paraId="26F1DE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1.3.4 交通运输条件</w:t>
      </w:r>
    </w:p>
    <w:p w14:paraId="354D87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项目站址位于山西省晋中市和顺县马坊乡西北侧，东经113.18°，北纬37.53°，海拔1380~1520米。直线距离和顺县城和晋中市均为40.0km，场区南有县道X346和X337通过，项目场区内有山间道路纵横交错，周边交通较为便利。</w:t>
      </w:r>
    </w:p>
    <w:p w14:paraId="094E0B7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1.3.5 太阳能资源和气象条件</w:t>
      </w:r>
    </w:p>
    <w:p w14:paraId="4DB8BE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本工程采用Solargis数据，即太阳能水平面平均总辐射为1511.6kWh/m2。</w:t>
      </w:r>
    </w:p>
    <w:p w14:paraId="17DCEE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本阶段选用Solargis 中提供的场址区太阳能辐射数据进行场址区太阳能资源评估，依据该数据库提供的逐月太阳总辐射、直接辐射、散射辐射序列，对工程所在地太阳能资源的时间变化、稳定性、可利用性及各分量的比例等做了较为充分的研究分析，得到结论如下：</w:t>
      </w:r>
    </w:p>
    <w:p w14:paraId="1CBEB3B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站址平均水平总辐射为1511.6kWh/m2，散射量为680.5kWh/m2，水平面直接辐射量为831.1kWh/m2。</w:t>
      </w:r>
    </w:p>
    <w:p w14:paraId="75D94A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根据《太阳能资源评估方法》(QX-T-89-2018)，该区域属于B类“资源很丰富带”，较适合大型光伏电站的建设。</w:t>
      </w:r>
    </w:p>
    <w:tbl>
      <w:tblPr>
        <w:tblW w:w="0" w:type="auto"/>
        <w:tblCellSpacing w:w="0"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autofit"/>
        <w:tblCellMar>
          <w:top w:w="0" w:type="dxa"/>
          <w:left w:w="0" w:type="dxa"/>
          <w:bottom w:w="0" w:type="dxa"/>
          <w:right w:w="0" w:type="dxa"/>
        </w:tblCellMar>
      </w:tblPr>
      <w:tblGrid>
        <w:gridCol w:w="3954"/>
        <w:gridCol w:w="2146"/>
        <w:gridCol w:w="1840"/>
      </w:tblGrid>
      <w:tr w14:paraId="395D1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blCellSpacing w:w="0" w:type="dxa"/>
        </w:trPr>
        <w:tc>
          <w:tcPr>
            <w:tcW w:w="395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91D58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default" w:ascii="Calibri" w:hAnsi="Calibri" w:cs="Calibri"/>
                <w:b/>
                <w:bCs/>
                <w:color w:val="000000"/>
                <w:sz w:val="24"/>
                <w:szCs w:val="24"/>
                <w:bdr w:val="none" w:color="auto" w:sz="0" w:space="0"/>
              </w:rPr>
              <w:t>太阳总辐射年总量</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22B2D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default" w:ascii="Calibri" w:hAnsi="Calibri" w:cs="Calibri"/>
                <w:b/>
                <w:bCs/>
                <w:color w:val="000000"/>
                <w:sz w:val="24"/>
                <w:szCs w:val="24"/>
                <w:bdr w:val="none" w:color="auto" w:sz="0" w:space="0"/>
              </w:rPr>
              <w:t>资源丰富程度</w:t>
            </w:r>
          </w:p>
        </w:tc>
        <w:tc>
          <w:tcPr>
            <w:tcW w:w="18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E398F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default" w:ascii="Calibri" w:hAnsi="Calibri" w:cs="Calibri"/>
                <w:b/>
                <w:bCs/>
                <w:color w:val="000000"/>
                <w:sz w:val="24"/>
                <w:szCs w:val="24"/>
                <w:bdr w:val="none" w:color="auto" w:sz="0" w:space="0"/>
              </w:rPr>
              <w:t>等级符号</w:t>
            </w:r>
          </w:p>
        </w:tc>
      </w:tr>
      <w:tr w14:paraId="49D78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1" w:hRule="atLeast"/>
          <w:tblCellSpacing w:w="0" w:type="dxa"/>
        </w:trPr>
        <w:tc>
          <w:tcPr>
            <w:tcW w:w="395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E5DA7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≥1750kW·h/(㎡·a)</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281B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资源最丰富</w:t>
            </w:r>
          </w:p>
        </w:tc>
        <w:tc>
          <w:tcPr>
            <w:tcW w:w="18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FECB4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A</w:t>
            </w:r>
          </w:p>
        </w:tc>
      </w:tr>
      <w:tr w14:paraId="42EBC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5" w:hRule="atLeast"/>
          <w:tblCellSpacing w:w="0" w:type="dxa"/>
        </w:trPr>
        <w:tc>
          <w:tcPr>
            <w:tcW w:w="395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21483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6300MJ/(㎡·a)</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56F4EA6">
            <w:pPr>
              <w:rPr>
                <w:rFonts w:hint="eastAsia" w:ascii="宋体"/>
                <w:sz w:val="24"/>
                <w:szCs w:val="24"/>
              </w:rPr>
            </w:pPr>
          </w:p>
        </w:tc>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2B41CE5">
            <w:pPr>
              <w:rPr>
                <w:rFonts w:hint="eastAsia" w:ascii="宋体"/>
                <w:sz w:val="24"/>
                <w:szCs w:val="24"/>
              </w:rPr>
            </w:pPr>
          </w:p>
        </w:tc>
      </w:tr>
      <w:tr w14:paraId="5041D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1" w:hRule="atLeast"/>
          <w:tblCellSpacing w:w="0" w:type="dxa"/>
        </w:trPr>
        <w:tc>
          <w:tcPr>
            <w:tcW w:w="395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069F8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1400~1750kW·h/(㎡·a)</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67B07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资源很丰富</w:t>
            </w:r>
          </w:p>
        </w:tc>
        <w:tc>
          <w:tcPr>
            <w:tcW w:w="18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3AFE8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B</w:t>
            </w:r>
          </w:p>
        </w:tc>
      </w:tr>
      <w:tr w14:paraId="6E2A2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blCellSpacing w:w="0" w:type="dxa"/>
        </w:trPr>
        <w:tc>
          <w:tcPr>
            <w:tcW w:w="395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1398B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5040~6300MJ/(㎡·a)</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E48905E">
            <w:pPr>
              <w:rPr>
                <w:rFonts w:hint="eastAsia" w:ascii="宋体"/>
                <w:sz w:val="24"/>
                <w:szCs w:val="24"/>
              </w:rPr>
            </w:pPr>
          </w:p>
        </w:tc>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EA52026">
            <w:pPr>
              <w:rPr>
                <w:rFonts w:hint="eastAsia" w:ascii="宋体"/>
                <w:sz w:val="24"/>
                <w:szCs w:val="24"/>
              </w:rPr>
            </w:pPr>
          </w:p>
        </w:tc>
      </w:tr>
      <w:tr w14:paraId="687D4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3" w:hRule="atLeast"/>
          <w:tblCellSpacing w:w="0" w:type="dxa"/>
        </w:trPr>
        <w:tc>
          <w:tcPr>
            <w:tcW w:w="395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A65A1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1050~1400kW·h/(㎡·a)</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35538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资源丰富</w:t>
            </w:r>
          </w:p>
        </w:tc>
        <w:tc>
          <w:tcPr>
            <w:tcW w:w="18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E954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C</w:t>
            </w:r>
          </w:p>
        </w:tc>
      </w:tr>
      <w:tr w14:paraId="696C4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3" w:hRule="atLeast"/>
          <w:tblCellSpacing w:w="0" w:type="dxa"/>
        </w:trPr>
        <w:tc>
          <w:tcPr>
            <w:tcW w:w="395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24D7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3780~6300MJ/(㎡·a)</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E0070E">
            <w:pPr>
              <w:rPr>
                <w:rFonts w:hint="eastAsia" w:ascii="宋体"/>
                <w:sz w:val="24"/>
                <w:szCs w:val="24"/>
              </w:rPr>
            </w:pPr>
          </w:p>
        </w:tc>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E03A4BF">
            <w:pPr>
              <w:rPr>
                <w:rFonts w:hint="eastAsia" w:ascii="宋体"/>
                <w:sz w:val="24"/>
                <w:szCs w:val="24"/>
              </w:rPr>
            </w:pPr>
          </w:p>
        </w:tc>
      </w:tr>
      <w:tr w14:paraId="43808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38" w:hRule="atLeast"/>
          <w:tblCellSpacing w:w="0" w:type="dxa"/>
        </w:trPr>
        <w:tc>
          <w:tcPr>
            <w:tcW w:w="395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55120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b/>
                <w:bCs/>
                <w:color w:val="000000"/>
                <w:sz w:val="24"/>
                <w:szCs w:val="24"/>
                <w:bdr w:val="none" w:color="auto" w:sz="0" w:space="0"/>
              </w:rPr>
              <w:t>&lt;1050kW·h/(㎡·a)</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9300E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资源一般</w:t>
            </w:r>
          </w:p>
        </w:tc>
        <w:tc>
          <w:tcPr>
            <w:tcW w:w="18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945C7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D</w:t>
            </w:r>
          </w:p>
        </w:tc>
      </w:tr>
    </w:tbl>
    <w:p w14:paraId="25900F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由Solargis数据及表可知，和顺多年各月平均辐照量最大为五月份，188.6kWh/m2，最小为十二月，77.3kWh/m2，根据《太阳能资源等级总辐射》（GB/T31155-2014）计算可知，Rw为0.41，当地光资源稳定度等级属于B类“稳定”。</w:t>
      </w:r>
    </w:p>
    <w:tbl>
      <w:tblPr>
        <w:tblW w:w="0" w:type="auto"/>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autofit"/>
        <w:tblCellMar>
          <w:top w:w="0" w:type="dxa"/>
          <w:left w:w="0" w:type="dxa"/>
          <w:bottom w:w="0" w:type="dxa"/>
          <w:right w:w="0" w:type="dxa"/>
        </w:tblCellMar>
      </w:tblPr>
      <w:tblGrid>
        <w:gridCol w:w="2689"/>
        <w:gridCol w:w="3046"/>
        <w:gridCol w:w="2069"/>
      </w:tblGrid>
      <w:tr w14:paraId="7ADCD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4" w:hRule="atLeast"/>
          <w:tblCellSpacing w:w="0" w:type="dxa"/>
          <w:jc w:val="center"/>
        </w:trPr>
        <w:tc>
          <w:tcPr>
            <w:tcW w:w="2689" w:type="dxa"/>
            <w:tcBorders>
              <w:top w:val="nil"/>
              <w:left w:val="single" w:color="000000" w:sz="6" w:space="0"/>
              <w:bottom w:val="nil"/>
              <w:right w:val="single" w:color="000000" w:sz="8" w:space="0"/>
            </w:tcBorders>
            <w:shd w:val="clear" w:color="auto" w:fill="FFFFFF"/>
            <w:tcMar>
              <w:left w:w="108" w:type="dxa"/>
              <w:right w:w="108" w:type="dxa"/>
            </w:tcMar>
            <w:vAlign w:val="center"/>
          </w:tcPr>
          <w:p w14:paraId="209BC0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default" w:ascii="Calibri" w:hAnsi="Calibri" w:cs="Calibri"/>
                <w:b/>
                <w:bCs/>
                <w:color w:val="000000"/>
                <w:sz w:val="24"/>
                <w:szCs w:val="24"/>
                <w:bdr w:val="none" w:color="auto" w:sz="0" w:space="0"/>
              </w:rPr>
              <w:t>等级名称</w:t>
            </w:r>
          </w:p>
        </w:tc>
        <w:tc>
          <w:tcPr>
            <w:tcW w:w="3046" w:type="dxa"/>
            <w:tcBorders>
              <w:top w:val="single" w:color="000000" w:sz="2" w:space="0"/>
              <w:left w:val="single" w:color="000000" w:sz="8" w:space="0"/>
              <w:bottom w:val="single" w:color="000000" w:sz="2" w:space="0"/>
              <w:right w:val="single" w:color="000000" w:sz="8" w:space="0"/>
            </w:tcBorders>
            <w:shd w:val="clear" w:color="auto" w:fill="FFFFFF"/>
            <w:tcMar>
              <w:left w:w="108" w:type="dxa"/>
              <w:right w:w="108" w:type="dxa"/>
            </w:tcMar>
            <w:vAlign w:val="center"/>
          </w:tcPr>
          <w:p w14:paraId="74DB39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default" w:ascii="Calibri" w:hAnsi="Calibri" w:cs="Calibri"/>
                <w:b/>
                <w:bCs/>
                <w:color w:val="000000"/>
                <w:sz w:val="24"/>
                <w:szCs w:val="24"/>
                <w:bdr w:val="none" w:color="auto" w:sz="0" w:space="0"/>
              </w:rPr>
              <w:t>分级阈值</w:t>
            </w:r>
          </w:p>
        </w:tc>
        <w:tc>
          <w:tcPr>
            <w:tcW w:w="2069" w:type="dxa"/>
            <w:tcBorders>
              <w:top w:val="single" w:color="000000" w:sz="2" w:space="0"/>
              <w:left w:val="single" w:color="000000" w:sz="8" w:space="0"/>
              <w:bottom w:val="single" w:color="000000" w:sz="2" w:space="0"/>
              <w:right w:val="single" w:color="000000" w:sz="2" w:space="0"/>
            </w:tcBorders>
            <w:shd w:val="clear" w:color="auto" w:fill="FFFFFF"/>
            <w:tcMar>
              <w:left w:w="108" w:type="dxa"/>
              <w:right w:w="108" w:type="dxa"/>
            </w:tcMar>
            <w:vAlign w:val="center"/>
          </w:tcPr>
          <w:p w14:paraId="11C7050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default" w:ascii="Calibri" w:hAnsi="Calibri" w:cs="Calibri"/>
                <w:b/>
                <w:bCs/>
                <w:color w:val="000000"/>
                <w:sz w:val="24"/>
                <w:szCs w:val="24"/>
                <w:bdr w:val="none" w:color="auto" w:sz="0" w:space="0"/>
              </w:rPr>
              <w:t>等级符号</w:t>
            </w:r>
          </w:p>
        </w:tc>
      </w:tr>
      <w:tr w14:paraId="1A927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4" w:hRule="atLeast"/>
          <w:tblCellSpacing w:w="0" w:type="dxa"/>
          <w:jc w:val="center"/>
        </w:trPr>
        <w:tc>
          <w:tcPr>
            <w:tcW w:w="2689" w:type="dxa"/>
            <w:tcBorders>
              <w:top w:val="nil"/>
              <w:left w:val="single" w:color="000000" w:sz="6" w:space="0"/>
              <w:bottom w:val="nil"/>
              <w:right w:val="single" w:color="000000" w:sz="8" w:space="0"/>
            </w:tcBorders>
            <w:shd w:val="clear" w:color="auto" w:fill="FFFFFF"/>
            <w:tcMar>
              <w:left w:w="108" w:type="dxa"/>
              <w:right w:w="108" w:type="dxa"/>
            </w:tcMar>
            <w:vAlign w:val="center"/>
          </w:tcPr>
          <w:p w14:paraId="4FE9796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很稳定</w:t>
            </w:r>
          </w:p>
        </w:tc>
        <w:tc>
          <w:tcPr>
            <w:tcW w:w="3046" w:type="dxa"/>
            <w:tcBorders>
              <w:top w:val="single" w:color="808080" w:sz="6" w:space="0"/>
              <w:left w:val="single" w:color="000000" w:sz="8" w:space="0"/>
              <w:bottom w:val="single" w:color="FFFFFF" w:sz="6" w:space="0"/>
              <w:right w:val="single" w:color="000000" w:sz="8" w:space="0"/>
            </w:tcBorders>
            <w:shd w:val="clear" w:color="auto" w:fill="FFFFFF"/>
            <w:tcMar>
              <w:left w:w="108" w:type="dxa"/>
              <w:right w:w="108" w:type="dxa"/>
            </w:tcMar>
            <w:vAlign w:val="center"/>
          </w:tcPr>
          <w:p w14:paraId="31FE3A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Rw≥0.47</w:t>
            </w:r>
          </w:p>
        </w:tc>
        <w:tc>
          <w:tcPr>
            <w:tcW w:w="2069" w:type="dxa"/>
            <w:tcBorders>
              <w:top w:val="single" w:color="808080" w:sz="6" w:space="0"/>
              <w:left w:val="single" w:color="000000" w:sz="8" w:space="0"/>
              <w:bottom w:val="single" w:color="FFFFFF" w:sz="6" w:space="0"/>
              <w:right w:val="single" w:color="000000" w:sz="2" w:space="0"/>
            </w:tcBorders>
            <w:shd w:val="clear" w:color="auto" w:fill="FFFFFF"/>
            <w:tcMar>
              <w:left w:w="108" w:type="dxa"/>
              <w:right w:w="108" w:type="dxa"/>
            </w:tcMar>
            <w:vAlign w:val="center"/>
          </w:tcPr>
          <w:p w14:paraId="3CE59E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A</w:t>
            </w:r>
          </w:p>
        </w:tc>
      </w:tr>
      <w:tr w14:paraId="3A009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CellSpacing w:w="0" w:type="dxa"/>
          <w:jc w:val="center"/>
        </w:trPr>
        <w:tc>
          <w:tcPr>
            <w:tcW w:w="2689" w:type="dxa"/>
            <w:tcBorders>
              <w:top w:val="nil"/>
              <w:left w:val="single" w:color="000000" w:sz="2" w:space="0"/>
              <w:bottom w:val="nil"/>
              <w:right w:val="single" w:color="808080" w:sz="6" w:space="0"/>
            </w:tcBorders>
            <w:shd w:val="clear" w:color="auto" w:fill="FFFFFF"/>
            <w:tcMar>
              <w:left w:w="108" w:type="dxa"/>
              <w:right w:w="108" w:type="dxa"/>
            </w:tcMar>
            <w:vAlign w:val="center"/>
          </w:tcPr>
          <w:p w14:paraId="3992B0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稳定</w:t>
            </w:r>
          </w:p>
        </w:tc>
        <w:tc>
          <w:tcPr>
            <w:tcW w:w="3046"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14:paraId="6BF4E7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0.36≤Rw＜0.47</w:t>
            </w:r>
          </w:p>
        </w:tc>
        <w:tc>
          <w:tcPr>
            <w:tcW w:w="2069"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14:paraId="47AF57E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B</w:t>
            </w:r>
          </w:p>
        </w:tc>
      </w:tr>
      <w:tr w14:paraId="08CAD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4" w:hRule="atLeast"/>
          <w:tblCellSpacing w:w="0" w:type="dxa"/>
          <w:jc w:val="center"/>
        </w:trPr>
        <w:tc>
          <w:tcPr>
            <w:tcW w:w="2689" w:type="dxa"/>
            <w:tcBorders>
              <w:top w:val="nil"/>
              <w:left w:val="single" w:color="000000" w:sz="2" w:space="0"/>
              <w:bottom w:val="nil"/>
              <w:right w:val="single" w:color="808080" w:sz="6" w:space="0"/>
            </w:tcBorders>
            <w:shd w:val="clear" w:color="auto" w:fill="FFFFFF"/>
            <w:tcMar>
              <w:left w:w="108" w:type="dxa"/>
              <w:right w:w="108" w:type="dxa"/>
            </w:tcMar>
            <w:vAlign w:val="center"/>
          </w:tcPr>
          <w:p w14:paraId="046CE3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一般</w:t>
            </w:r>
          </w:p>
        </w:tc>
        <w:tc>
          <w:tcPr>
            <w:tcW w:w="3046" w:type="dxa"/>
            <w:tcBorders>
              <w:top w:val="single" w:color="808080" w:sz="6" w:space="0"/>
              <w:left w:val="single" w:color="000000" w:sz="2" w:space="0"/>
              <w:bottom w:val="single" w:color="FFFFFF" w:sz="6" w:space="0"/>
              <w:right w:val="single" w:color="000000" w:sz="2" w:space="0"/>
            </w:tcBorders>
            <w:shd w:val="clear" w:color="auto" w:fill="FFFFFF"/>
            <w:tcMar>
              <w:left w:w="108" w:type="dxa"/>
              <w:right w:w="108" w:type="dxa"/>
            </w:tcMar>
            <w:vAlign w:val="center"/>
          </w:tcPr>
          <w:p w14:paraId="2972C7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0.28≤Rw＜0.36</w:t>
            </w:r>
          </w:p>
        </w:tc>
        <w:tc>
          <w:tcPr>
            <w:tcW w:w="2069" w:type="dxa"/>
            <w:tcBorders>
              <w:top w:val="single" w:color="808080" w:sz="6" w:space="0"/>
              <w:left w:val="single" w:color="000000" w:sz="2" w:space="0"/>
              <w:bottom w:val="single" w:color="FFFFFF" w:sz="6" w:space="0"/>
              <w:right w:val="single" w:color="000000" w:sz="2" w:space="0"/>
            </w:tcBorders>
            <w:shd w:val="clear" w:color="auto" w:fill="FFFFFF"/>
            <w:tcMar>
              <w:left w:w="108" w:type="dxa"/>
              <w:right w:w="108" w:type="dxa"/>
            </w:tcMar>
            <w:vAlign w:val="center"/>
          </w:tcPr>
          <w:p w14:paraId="51A2A2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C</w:t>
            </w:r>
          </w:p>
        </w:tc>
      </w:tr>
      <w:tr w14:paraId="396B7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CellSpacing w:w="0" w:type="dxa"/>
          <w:jc w:val="center"/>
        </w:trPr>
        <w:tc>
          <w:tcPr>
            <w:tcW w:w="2689" w:type="dxa"/>
            <w:tcBorders>
              <w:top w:val="nil"/>
              <w:left w:val="single" w:color="000000" w:sz="2" w:space="0"/>
              <w:bottom w:val="nil"/>
              <w:right w:val="single" w:color="808080" w:sz="6" w:space="0"/>
            </w:tcBorders>
            <w:shd w:val="clear" w:color="auto" w:fill="FFFFFF"/>
            <w:tcMar>
              <w:left w:w="108" w:type="dxa"/>
              <w:right w:w="108" w:type="dxa"/>
            </w:tcMar>
            <w:vAlign w:val="center"/>
          </w:tcPr>
          <w:p w14:paraId="743D2C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b/>
                <w:bCs/>
                <w:color w:val="000000"/>
                <w:sz w:val="24"/>
                <w:szCs w:val="24"/>
                <w:bdr w:val="none" w:color="auto" w:sz="0" w:space="0"/>
              </w:rPr>
              <w:t>欠稳定</w:t>
            </w:r>
          </w:p>
        </w:tc>
        <w:tc>
          <w:tcPr>
            <w:tcW w:w="3046"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14:paraId="0D168CE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Rw＜0.28</w:t>
            </w:r>
          </w:p>
        </w:tc>
        <w:tc>
          <w:tcPr>
            <w:tcW w:w="2069"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14:paraId="11BA9B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D</w:t>
            </w:r>
          </w:p>
        </w:tc>
      </w:tr>
    </w:tbl>
    <w:p w14:paraId="40668E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由表可知，和顺县多年水平面直接辐射量为831.1kWh/m2，总辐射年辐照量为1511.6kWh/m2，根据《太阳能资源等级总辐射》（GB/T31155-2014）计算可知，RD为0.55，当地光资源直射比等级属于B类“高”。</w:t>
      </w:r>
    </w:p>
    <w:tbl>
      <w:tblPr>
        <w:tblW w:w="0" w:type="auto"/>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autofit"/>
        <w:tblCellMar>
          <w:top w:w="0" w:type="dxa"/>
          <w:left w:w="0" w:type="dxa"/>
          <w:bottom w:w="0" w:type="dxa"/>
          <w:right w:w="0" w:type="dxa"/>
        </w:tblCellMar>
      </w:tblPr>
      <w:tblGrid>
        <w:gridCol w:w="2047"/>
        <w:gridCol w:w="2224"/>
        <w:gridCol w:w="1683"/>
        <w:gridCol w:w="1845"/>
      </w:tblGrid>
      <w:tr w14:paraId="1F6F1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4" w:hRule="atLeast"/>
          <w:tblCellSpacing w:w="0" w:type="dxa"/>
          <w:jc w:val="center"/>
        </w:trPr>
        <w:tc>
          <w:tcPr>
            <w:tcW w:w="2047" w:type="dxa"/>
            <w:tcBorders>
              <w:top w:val="nil"/>
              <w:left w:val="single" w:color="000000" w:sz="6" w:space="0"/>
              <w:bottom w:val="nil"/>
              <w:right w:val="single" w:color="000000" w:sz="8" w:space="0"/>
            </w:tcBorders>
            <w:shd w:val="clear" w:color="auto" w:fill="FFFFFF"/>
            <w:tcMar>
              <w:left w:w="108" w:type="dxa"/>
              <w:right w:w="108" w:type="dxa"/>
            </w:tcMar>
            <w:vAlign w:val="center"/>
          </w:tcPr>
          <w:p w14:paraId="681969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default" w:ascii="Calibri" w:hAnsi="Calibri" w:cs="Calibri"/>
                <w:b/>
                <w:bCs/>
                <w:color w:val="000000"/>
                <w:sz w:val="24"/>
                <w:szCs w:val="24"/>
                <w:bdr w:val="none" w:color="auto" w:sz="0" w:space="0"/>
              </w:rPr>
              <w:t>等级名称</w:t>
            </w:r>
          </w:p>
        </w:tc>
        <w:tc>
          <w:tcPr>
            <w:tcW w:w="2224" w:type="dxa"/>
            <w:tcBorders>
              <w:top w:val="single" w:color="000000" w:sz="2" w:space="0"/>
              <w:left w:val="single" w:color="000000" w:sz="8" w:space="0"/>
              <w:bottom w:val="single" w:color="000000" w:sz="2" w:space="0"/>
              <w:right w:val="single" w:color="000000" w:sz="8" w:space="0"/>
            </w:tcBorders>
            <w:shd w:val="clear" w:color="auto" w:fill="FFFFFF"/>
            <w:tcMar>
              <w:left w:w="108" w:type="dxa"/>
              <w:right w:w="108" w:type="dxa"/>
            </w:tcMar>
            <w:vAlign w:val="center"/>
          </w:tcPr>
          <w:p w14:paraId="23EC74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default" w:ascii="Calibri" w:hAnsi="Calibri" w:cs="Calibri"/>
                <w:b/>
                <w:bCs/>
                <w:color w:val="000000"/>
                <w:sz w:val="24"/>
                <w:szCs w:val="24"/>
                <w:bdr w:val="none" w:color="auto" w:sz="0" w:space="0"/>
              </w:rPr>
              <w:t>分级阈值</w:t>
            </w:r>
          </w:p>
        </w:tc>
        <w:tc>
          <w:tcPr>
            <w:tcW w:w="1683" w:type="dxa"/>
            <w:tcBorders>
              <w:top w:val="single" w:color="000000" w:sz="2" w:space="0"/>
              <w:left w:val="single" w:color="000000" w:sz="8" w:space="0"/>
              <w:bottom w:val="single" w:color="000000" w:sz="2" w:space="0"/>
              <w:right w:val="single" w:color="000000" w:sz="8" w:space="0"/>
            </w:tcBorders>
            <w:shd w:val="clear" w:color="auto" w:fill="FFFFFF"/>
            <w:tcMar>
              <w:left w:w="108" w:type="dxa"/>
              <w:right w:w="108" w:type="dxa"/>
            </w:tcMar>
            <w:vAlign w:val="center"/>
          </w:tcPr>
          <w:p w14:paraId="1C9D81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default" w:ascii="Calibri" w:hAnsi="Calibri" w:cs="Calibri"/>
                <w:b/>
                <w:bCs/>
                <w:color w:val="000000"/>
                <w:sz w:val="24"/>
                <w:szCs w:val="24"/>
                <w:bdr w:val="none" w:color="auto" w:sz="0" w:space="0"/>
              </w:rPr>
              <w:t>等级符号</w:t>
            </w:r>
          </w:p>
        </w:tc>
        <w:tc>
          <w:tcPr>
            <w:tcW w:w="1845" w:type="dxa"/>
            <w:tcBorders>
              <w:top w:val="single" w:color="000000" w:sz="2" w:space="0"/>
              <w:left w:val="single" w:color="000000" w:sz="8" w:space="0"/>
              <w:bottom w:val="single" w:color="000000" w:sz="2" w:space="0"/>
              <w:right w:val="single" w:color="000000" w:sz="2" w:space="0"/>
            </w:tcBorders>
            <w:shd w:val="clear" w:color="auto" w:fill="FFFFFF"/>
            <w:tcMar>
              <w:left w:w="108" w:type="dxa"/>
              <w:right w:w="108" w:type="dxa"/>
            </w:tcMar>
            <w:vAlign w:val="center"/>
          </w:tcPr>
          <w:p w14:paraId="71699D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9"/>
              <w:jc w:val="both"/>
            </w:pPr>
            <w:r>
              <w:rPr>
                <w:rFonts w:hint="default" w:ascii="Calibri" w:hAnsi="Calibri" w:cs="Calibri"/>
                <w:b/>
                <w:bCs/>
                <w:color w:val="000000"/>
                <w:sz w:val="24"/>
                <w:szCs w:val="24"/>
                <w:bdr w:val="none" w:color="auto" w:sz="0" w:space="0"/>
              </w:rPr>
              <w:t>等级说明</w:t>
            </w:r>
          </w:p>
        </w:tc>
      </w:tr>
      <w:tr w14:paraId="6E576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4" w:hRule="atLeast"/>
          <w:tblCellSpacing w:w="0" w:type="dxa"/>
          <w:jc w:val="center"/>
        </w:trPr>
        <w:tc>
          <w:tcPr>
            <w:tcW w:w="2047" w:type="dxa"/>
            <w:tcBorders>
              <w:top w:val="nil"/>
              <w:left w:val="single" w:color="000000" w:sz="6" w:space="0"/>
              <w:bottom w:val="nil"/>
              <w:right w:val="single" w:color="000000" w:sz="8" w:space="0"/>
            </w:tcBorders>
            <w:shd w:val="clear" w:color="auto" w:fill="FFFFFF"/>
            <w:tcMar>
              <w:left w:w="108" w:type="dxa"/>
              <w:right w:w="108" w:type="dxa"/>
            </w:tcMar>
            <w:vAlign w:val="center"/>
          </w:tcPr>
          <w:p w14:paraId="573223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很高</w:t>
            </w:r>
          </w:p>
        </w:tc>
        <w:tc>
          <w:tcPr>
            <w:tcW w:w="2224" w:type="dxa"/>
            <w:tcBorders>
              <w:top w:val="single" w:color="808080" w:sz="6" w:space="0"/>
              <w:left w:val="single" w:color="000000" w:sz="8" w:space="0"/>
              <w:bottom w:val="single" w:color="FFFFFF" w:sz="6" w:space="0"/>
              <w:right w:val="single" w:color="000000" w:sz="8" w:space="0"/>
            </w:tcBorders>
            <w:shd w:val="clear" w:color="auto" w:fill="FFFFFF"/>
            <w:tcMar>
              <w:left w:w="108" w:type="dxa"/>
              <w:right w:w="108" w:type="dxa"/>
            </w:tcMar>
            <w:vAlign w:val="center"/>
          </w:tcPr>
          <w:p w14:paraId="6CBE95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RD≥0.6</w:t>
            </w:r>
          </w:p>
        </w:tc>
        <w:tc>
          <w:tcPr>
            <w:tcW w:w="1683" w:type="dxa"/>
            <w:tcBorders>
              <w:top w:val="single" w:color="808080" w:sz="6" w:space="0"/>
              <w:left w:val="single" w:color="000000" w:sz="8" w:space="0"/>
              <w:bottom w:val="single" w:color="FFFFFF" w:sz="6" w:space="0"/>
              <w:right w:val="single" w:color="000000" w:sz="8" w:space="0"/>
            </w:tcBorders>
            <w:shd w:val="clear" w:color="auto" w:fill="FFFFFF"/>
            <w:tcMar>
              <w:left w:w="108" w:type="dxa"/>
              <w:right w:w="108" w:type="dxa"/>
            </w:tcMar>
            <w:vAlign w:val="center"/>
          </w:tcPr>
          <w:p w14:paraId="2FF7C5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A</w:t>
            </w:r>
          </w:p>
        </w:tc>
        <w:tc>
          <w:tcPr>
            <w:tcW w:w="1845" w:type="dxa"/>
            <w:tcBorders>
              <w:top w:val="single" w:color="808080" w:sz="6" w:space="0"/>
              <w:left w:val="single" w:color="000000" w:sz="8" w:space="0"/>
              <w:bottom w:val="single" w:color="FFFFFF" w:sz="6" w:space="0"/>
              <w:right w:val="single" w:color="000000" w:sz="2" w:space="0"/>
            </w:tcBorders>
            <w:shd w:val="clear" w:color="auto" w:fill="FFFFFF"/>
            <w:tcMar>
              <w:left w:w="108" w:type="dxa"/>
              <w:right w:w="108" w:type="dxa"/>
            </w:tcMar>
            <w:vAlign w:val="center"/>
          </w:tcPr>
          <w:p w14:paraId="179DE2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直接辐射主导</w:t>
            </w:r>
          </w:p>
        </w:tc>
      </w:tr>
      <w:tr w14:paraId="0731C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4" w:hRule="atLeast"/>
          <w:tblCellSpacing w:w="0" w:type="dxa"/>
          <w:jc w:val="center"/>
        </w:trPr>
        <w:tc>
          <w:tcPr>
            <w:tcW w:w="2047" w:type="dxa"/>
            <w:tcBorders>
              <w:top w:val="nil"/>
              <w:left w:val="single" w:color="000000" w:sz="6" w:space="0"/>
              <w:bottom w:val="nil"/>
              <w:right w:val="single" w:color="000000" w:sz="8" w:space="0"/>
            </w:tcBorders>
            <w:shd w:val="clear" w:color="auto" w:fill="FFFFFF"/>
            <w:tcMar>
              <w:left w:w="108" w:type="dxa"/>
              <w:right w:w="108" w:type="dxa"/>
            </w:tcMar>
            <w:vAlign w:val="center"/>
          </w:tcPr>
          <w:p w14:paraId="10613A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高</w:t>
            </w:r>
          </w:p>
        </w:tc>
        <w:tc>
          <w:tcPr>
            <w:tcW w:w="2224" w:type="dxa"/>
            <w:tcBorders>
              <w:top w:val="single" w:color="000000" w:sz="2" w:space="0"/>
              <w:left w:val="single" w:color="000000" w:sz="8" w:space="0"/>
              <w:bottom w:val="single" w:color="000000" w:sz="2" w:space="0"/>
              <w:right w:val="single" w:color="000000" w:sz="8" w:space="0"/>
            </w:tcBorders>
            <w:shd w:val="clear" w:color="auto" w:fill="FFFFFF"/>
            <w:tcMar>
              <w:left w:w="108" w:type="dxa"/>
              <w:right w:w="108" w:type="dxa"/>
            </w:tcMar>
            <w:vAlign w:val="center"/>
          </w:tcPr>
          <w:p w14:paraId="06E68A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0.5≤RD＜0.6</w:t>
            </w:r>
          </w:p>
        </w:tc>
        <w:tc>
          <w:tcPr>
            <w:tcW w:w="1683" w:type="dxa"/>
            <w:tcBorders>
              <w:top w:val="single" w:color="000000" w:sz="2" w:space="0"/>
              <w:left w:val="single" w:color="000000" w:sz="8" w:space="0"/>
              <w:bottom w:val="single" w:color="000000" w:sz="2" w:space="0"/>
              <w:right w:val="single" w:color="000000" w:sz="8" w:space="0"/>
            </w:tcBorders>
            <w:shd w:val="clear" w:color="auto" w:fill="FFFFFF"/>
            <w:tcMar>
              <w:left w:w="108" w:type="dxa"/>
              <w:right w:w="108" w:type="dxa"/>
            </w:tcMar>
            <w:vAlign w:val="center"/>
          </w:tcPr>
          <w:p w14:paraId="48FD30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B</w:t>
            </w:r>
          </w:p>
        </w:tc>
        <w:tc>
          <w:tcPr>
            <w:tcW w:w="1845" w:type="dxa"/>
            <w:tcBorders>
              <w:top w:val="single" w:color="000000" w:sz="2" w:space="0"/>
              <w:left w:val="single" w:color="000000" w:sz="8" w:space="0"/>
              <w:bottom w:val="single" w:color="000000" w:sz="2" w:space="0"/>
              <w:right w:val="single" w:color="000000" w:sz="2" w:space="0"/>
            </w:tcBorders>
            <w:shd w:val="clear" w:color="auto" w:fill="FFFFFF"/>
            <w:tcMar>
              <w:left w:w="108" w:type="dxa"/>
              <w:right w:w="108" w:type="dxa"/>
            </w:tcMar>
            <w:vAlign w:val="center"/>
          </w:tcPr>
          <w:p w14:paraId="773FED2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直接辐射较多</w:t>
            </w:r>
          </w:p>
        </w:tc>
      </w:tr>
      <w:tr w14:paraId="04514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14" w:hRule="atLeast"/>
          <w:tblCellSpacing w:w="0" w:type="dxa"/>
          <w:jc w:val="center"/>
        </w:trPr>
        <w:tc>
          <w:tcPr>
            <w:tcW w:w="2047" w:type="dxa"/>
            <w:tcBorders>
              <w:top w:val="nil"/>
              <w:left w:val="single" w:color="000000" w:sz="6" w:space="0"/>
              <w:bottom w:val="nil"/>
              <w:right w:val="single" w:color="000000" w:sz="8" w:space="0"/>
            </w:tcBorders>
            <w:shd w:val="clear" w:color="auto" w:fill="FFFFFF"/>
            <w:tcMar>
              <w:left w:w="108" w:type="dxa"/>
              <w:right w:w="108" w:type="dxa"/>
            </w:tcMar>
            <w:vAlign w:val="center"/>
          </w:tcPr>
          <w:p w14:paraId="2B56F7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中</w:t>
            </w:r>
          </w:p>
        </w:tc>
        <w:tc>
          <w:tcPr>
            <w:tcW w:w="2224" w:type="dxa"/>
            <w:tcBorders>
              <w:top w:val="single" w:color="808080" w:sz="6" w:space="0"/>
              <w:left w:val="single" w:color="000000" w:sz="8" w:space="0"/>
              <w:bottom w:val="single" w:color="FFFFFF" w:sz="6" w:space="0"/>
              <w:right w:val="single" w:color="000000" w:sz="8" w:space="0"/>
            </w:tcBorders>
            <w:shd w:val="clear" w:color="auto" w:fill="FFFFFF"/>
            <w:tcMar>
              <w:left w:w="108" w:type="dxa"/>
              <w:right w:w="108" w:type="dxa"/>
            </w:tcMar>
            <w:vAlign w:val="center"/>
          </w:tcPr>
          <w:p w14:paraId="4EC484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0.35≤RD＜0.5</w:t>
            </w:r>
          </w:p>
        </w:tc>
        <w:tc>
          <w:tcPr>
            <w:tcW w:w="1683" w:type="dxa"/>
            <w:tcBorders>
              <w:top w:val="single" w:color="808080" w:sz="6" w:space="0"/>
              <w:left w:val="single" w:color="000000" w:sz="8" w:space="0"/>
              <w:bottom w:val="single" w:color="FFFFFF" w:sz="6" w:space="0"/>
              <w:right w:val="single" w:color="000000" w:sz="8" w:space="0"/>
            </w:tcBorders>
            <w:shd w:val="clear" w:color="auto" w:fill="FFFFFF"/>
            <w:tcMar>
              <w:left w:w="108" w:type="dxa"/>
              <w:right w:w="108" w:type="dxa"/>
            </w:tcMar>
            <w:vAlign w:val="center"/>
          </w:tcPr>
          <w:p w14:paraId="6602F0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C</w:t>
            </w:r>
          </w:p>
        </w:tc>
        <w:tc>
          <w:tcPr>
            <w:tcW w:w="1845" w:type="dxa"/>
            <w:tcBorders>
              <w:top w:val="single" w:color="808080" w:sz="6" w:space="0"/>
              <w:left w:val="single" w:color="000000" w:sz="8" w:space="0"/>
              <w:bottom w:val="single" w:color="FFFFFF" w:sz="6" w:space="0"/>
              <w:right w:val="single" w:color="000000" w:sz="2" w:space="0"/>
            </w:tcBorders>
            <w:shd w:val="clear" w:color="auto" w:fill="FFFFFF"/>
            <w:tcMar>
              <w:left w:w="108" w:type="dxa"/>
              <w:right w:w="108" w:type="dxa"/>
            </w:tcMar>
            <w:vAlign w:val="center"/>
          </w:tcPr>
          <w:p w14:paraId="750157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散射辐射较多</w:t>
            </w:r>
          </w:p>
        </w:tc>
      </w:tr>
      <w:tr w14:paraId="2A7F4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CellSpacing w:w="0" w:type="dxa"/>
          <w:jc w:val="center"/>
        </w:trPr>
        <w:tc>
          <w:tcPr>
            <w:tcW w:w="2047" w:type="dxa"/>
            <w:tcBorders>
              <w:top w:val="nil"/>
              <w:left w:val="single" w:color="000000" w:sz="2" w:space="0"/>
              <w:bottom w:val="nil"/>
              <w:right w:val="single" w:color="808080" w:sz="6" w:space="0"/>
            </w:tcBorders>
            <w:shd w:val="clear" w:color="auto" w:fill="FFFFFF"/>
            <w:tcMar>
              <w:left w:w="108" w:type="dxa"/>
              <w:right w:w="108" w:type="dxa"/>
            </w:tcMar>
            <w:vAlign w:val="center"/>
          </w:tcPr>
          <w:p w14:paraId="05BBE1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b/>
                <w:bCs/>
                <w:color w:val="000000"/>
                <w:sz w:val="24"/>
                <w:szCs w:val="24"/>
                <w:bdr w:val="none" w:color="auto" w:sz="0" w:space="0"/>
              </w:rPr>
              <w:t>低</w:t>
            </w:r>
          </w:p>
        </w:tc>
        <w:tc>
          <w:tcPr>
            <w:tcW w:w="2224"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14:paraId="265B82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RD＜0.35</w:t>
            </w:r>
          </w:p>
        </w:tc>
        <w:tc>
          <w:tcPr>
            <w:tcW w:w="1683"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14:paraId="46F7A5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D</w:t>
            </w:r>
          </w:p>
        </w:tc>
        <w:tc>
          <w:tcPr>
            <w:tcW w:w="1845"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14:paraId="160360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default" w:ascii="Calibri" w:hAnsi="Calibri" w:cs="Calibri"/>
                <w:color w:val="000000"/>
                <w:sz w:val="24"/>
                <w:szCs w:val="24"/>
                <w:bdr w:val="none" w:color="auto" w:sz="0" w:space="0"/>
              </w:rPr>
              <w:t>散射辐射主导</w:t>
            </w:r>
          </w:p>
        </w:tc>
      </w:tr>
    </w:tbl>
    <w:p w14:paraId="17DFF1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通过太阳能资源分析，其当地太阳能资源较好，较适合大型光伏电站的建设。</w:t>
      </w:r>
    </w:p>
    <w:p w14:paraId="01050B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p w14:paraId="6439A6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1.3.6 场址地质条件</w:t>
      </w:r>
    </w:p>
    <w:p w14:paraId="14BD00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 本项目站址位于山西省晋中市和顺县马坊乡西北侧，东经113.18°，北纬37.53°，海拔1380~1520米，地貌单元可分为低山剥蚀丘陵地貌及黄土丘陵地貌。</w:t>
      </w:r>
    </w:p>
    <w:p w14:paraId="5D93F2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 场地内第四系沉积的含碎石粉土、黄土（粉土），下伏二叠系泥岩（强风化状）和砂岩（中风化）地层物理力学性质均较好，均可作为天然地基和桩基基础的持力层。</w:t>
      </w:r>
    </w:p>
    <w:p w14:paraId="0A2FDA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 本次勘测期间，地质Ⅰ区（低山剥蚀丘陵区）地下水类型主要为基岩裂隙水，除地块7外，勘测深度范围内未见地下水，可不考虑地下水对基础和施工的影响。光伏区内地块7范围内部分光伏阵列区沿关河水库正常蓄水位线附近布置，地下水位埋深较浅，稳定水位埋深约为0.90~2.00m。据水文地质调查，历年最高地下水位和近3~5年最高地下水位一般可按自然地表考虑，沿线地下水位年变幅约为1.00~2.00m。</w:t>
      </w:r>
    </w:p>
    <w:p w14:paraId="793730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地质Ⅱ区（黄土梁、峁状）场地地下水类型主要为孔隙潜水。未见地下水，可不考虑地下水对基础和施工的影响。</w:t>
      </w:r>
    </w:p>
    <w:p w14:paraId="326DCD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 根据本次地质调查并参考光伏升压站场地内所取土样的“易溶盐检验报告”结果判定，场区内地基土对混凝土结构具微腐蚀性，对钢筋混凝土结构中的钢筋具微腐蚀性，对钢结构具微腐蚀性。</w:t>
      </w:r>
    </w:p>
    <w:p w14:paraId="737447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 根据《中国地震动参数区划图》GB 18306-2015，在Ⅱ类场地条件下，拟建场地基本地震动峰值加速度为0.10g，相应的地震烈度为Ⅶ度，基本地震动加速度反应谱特征周期为0.45s。按场地类别为Ⅰ1类调整后的地震动峰值加速度为0.082g，相应的地震烈度为Ⅵ度，基本地震动加速度反应谱特征周期为0.35s。</w:t>
      </w:r>
    </w:p>
    <w:p w14:paraId="0AD2EB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 根据周边项目资料，光伏场场区未压覆已批准可开采的矿产资源。</w:t>
      </w:r>
    </w:p>
    <w:p w14:paraId="284BB2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 地质Ⅰ区（低山剥蚀丘陵区）场地土的类型为中硬土及坚硬土，覆盖层厚度小于5m，建筑场地类别为Ⅰ1类。</w:t>
      </w:r>
    </w:p>
    <w:p w14:paraId="68D46E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地质Ⅱ区（黄土梁、峁区）拟建场地土的类型为中软土，覆盖层厚度3~50m，建筑场地类别为Ⅱ类。</w:t>
      </w:r>
    </w:p>
    <w:p w14:paraId="5FE5E9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 本工程标准冻结深度可按1.10m考虑。</w:t>
      </w:r>
    </w:p>
    <w:p w14:paraId="1FF9E3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1.3.7施工电源</w:t>
      </w:r>
    </w:p>
    <w:p w14:paraId="07BB62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由承包人结合施工方案自行考虑。</w:t>
      </w:r>
    </w:p>
    <w:p w14:paraId="083C1BB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1.3.8接入系统概述</w:t>
      </w:r>
    </w:p>
    <w:p w14:paraId="72E6DF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本项目通过4回集电线路接入现有昔阳莲花山风电场升压站，升压后利用原220kV送出线路送至斯能昔阳风电场升压站。</w:t>
      </w:r>
    </w:p>
    <w:p w14:paraId="540901F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1.4 总的设计工艺和方案</w:t>
      </w:r>
    </w:p>
    <w:p w14:paraId="7CC97E0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1.4.1主要设备选型</w:t>
      </w:r>
    </w:p>
    <w:p w14:paraId="6BAA80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本工程预计建设开工时间为2022年第一季度，根据组件市场技术现状，发展趋势，技术成熟度及供货能力，并综合考虑本工程的场址条件，现阶段推荐本工程采用550Wp单晶双面双玻组件。</w:t>
      </w:r>
    </w:p>
    <w:p w14:paraId="460888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综合考虑目前市场主流的逆变方案各自的适用条件和本工程的光伏阵列布置特点，本工程拟采用组串式的逆变方案， 本工程为山地项目，范围较为分散，综合考虑，采用320kW组串式逆变器。</w:t>
      </w:r>
    </w:p>
    <w:p w14:paraId="05E5FD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综合考虑技术可靠性和经济节约性，本工程光伏阵列运行方式推荐采用固定倾角式。</w:t>
      </w:r>
    </w:p>
    <w:p w14:paraId="2DAE78C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为充分利用土地资源，光伏阵列采用2x13双排竖向布置形式。</w:t>
      </w:r>
    </w:p>
    <w:p w14:paraId="6D6A612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工程组件支架采用固定安装方式，安装角度为31°，方位角为0°，阵列前后排间距取7m，由于山地光伏每个场区的坡度不同，对应的每个场区的组件间距也不同，上述描述的间距为平地光伏的间距，实际工程中会计算每个场区的相对应的最小间距，做到合理布置。</w:t>
      </w:r>
    </w:p>
    <w:p w14:paraId="70842BF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光伏组件最低点与最高洪水位的距离不小于1 m。</w:t>
      </w:r>
    </w:p>
    <w:p w14:paraId="4BB25B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1.4.2主要设备材料选型及要求</w:t>
      </w:r>
    </w:p>
    <w:p w14:paraId="141A5D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（1）光伏组件</w:t>
      </w:r>
    </w:p>
    <w:p w14:paraId="76E04E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本项目采用550Wp单晶硅双面组件，光伏电池组件各项性能指标（辐照度1000W/m²，电池温度25°C，大气质量AM1.5）。</w:t>
      </w:r>
    </w:p>
    <w:tbl>
      <w:tblPr>
        <w:tblW w:w="0" w:type="auto"/>
        <w:jc w:val="center"/>
        <w:tblCellSpacing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Layout w:type="autofit"/>
        <w:tblCellMar>
          <w:top w:w="0" w:type="dxa"/>
          <w:left w:w="0" w:type="dxa"/>
          <w:bottom w:w="0" w:type="dxa"/>
          <w:right w:w="0" w:type="dxa"/>
        </w:tblCellMar>
      </w:tblPr>
      <w:tblGrid>
        <w:gridCol w:w="2630"/>
        <w:gridCol w:w="4097"/>
      </w:tblGrid>
      <w:tr w14:paraId="138FD2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12" w:space="0"/>
              <w:left w:val="single" w:color="000000" w:sz="12" w:space="0"/>
              <w:bottom w:val="single" w:color="000000" w:sz="4" w:space="0"/>
              <w:right w:val="single" w:color="000000" w:sz="4" w:space="0"/>
            </w:tcBorders>
            <w:shd w:val="clear"/>
            <w:tcMar>
              <w:left w:w="108" w:type="dxa"/>
              <w:right w:w="108" w:type="dxa"/>
            </w:tcMar>
            <w:vAlign w:val="center"/>
          </w:tcPr>
          <w:p w14:paraId="0F60DD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额定功率Wp</w:t>
            </w:r>
          </w:p>
        </w:tc>
        <w:tc>
          <w:tcPr>
            <w:tcW w:w="4097" w:type="dxa"/>
            <w:tcBorders>
              <w:top w:val="single" w:color="000000" w:sz="12" w:space="0"/>
              <w:left w:val="single" w:color="000000" w:sz="4" w:space="0"/>
              <w:bottom w:val="single" w:color="000000" w:sz="4" w:space="0"/>
              <w:right w:val="single" w:color="000000" w:sz="12" w:space="0"/>
            </w:tcBorders>
            <w:shd w:val="clear"/>
            <w:tcMar>
              <w:left w:w="108" w:type="dxa"/>
              <w:right w:w="108" w:type="dxa"/>
            </w:tcMar>
            <w:vAlign w:val="center"/>
          </w:tcPr>
          <w:p w14:paraId="3D10D3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550</w:t>
            </w:r>
          </w:p>
        </w:tc>
      </w:tr>
      <w:tr w14:paraId="75DF89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2119E2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开路电压V</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4B1BFF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49.80</w:t>
            </w:r>
          </w:p>
        </w:tc>
      </w:tr>
      <w:tr w14:paraId="19FE12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67353B2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短路电流A</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5A0942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13.99</w:t>
            </w:r>
          </w:p>
        </w:tc>
      </w:tr>
      <w:tr w14:paraId="56AEF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01249D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工作电压V</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65B56C9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41.95</w:t>
            </w:r>
          </w:p>
        </w:tc>
      </w:tr>
      <w:tr w14:paraId="6F932F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2A0550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工作电流A</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3B05CC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13.12</w:t>
            </w:r>
          </w:p>
        </w:tc>
      </w:tr>
      <w:tr w14:paraId="5A9FE2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2DA324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组件效率</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52E043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21.3</w:t>
            </w:r>
          </w:p>
        </w:tc>
      </w:tr>
      <w:tr w14:paraId="6F5230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6EC22C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最大系统电压V</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60AD70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DC1500（IEC/UL）</w:t>
            </w:r>
          </w:p>
        </w:tc>
      </w:tr>
      <w:tr w14:paraId="4B7A57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2B26309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短路电流温度系数</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371778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0.050%/℃</w:t>
            </w:r>
          </w:p>
        </w:tc>
      </w:tr>
      <w:tr w14:paraId="46A843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777A21C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开路电压温度系数</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64D0B96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-0.265%/℃</w:t>
            </w:r>
          </w:p>
        </w:tc>
      </w:tr>
      <w:tr w14:paraId="69CA54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76C398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功率温度系数</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3A9F64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-0.340%/℃</w:t>
            </w:r>
          </w:p>
        </w:tc>
      </w:tr>
      <w:tr w14:paraId="1AE535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095ADC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熔断丝额定电流A</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687BCD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30</w:t>
            </w:r>
          </w:p>
        </w:tc>
      </w:tr>
      <w:tr w14:paraId="7C8224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28112A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电池</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3A94824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6×24片单晶硅电池片</w:t>
            </w:r>
          </w:p>
        </w:tc>
      </w:tr>
      <w:tr w14:paraId="7D708A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2F89B55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接线盒</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113BE0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IP68，3个二极管</w:t>
            </w:r>
          </w:p>
        </w:tc>
      </w:tr>
      <w:tr w14:paraId="3A6E76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52F6D7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输出电缆</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6EF5191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300mm（+）/300mm（-），直径1×4mm²</w:t>
            </w:r>
          </w:p>
        </w:tc>
      </w:tr>
      <w:tr w14:paraId="37D2E1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29268A6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玻璃</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6F4D57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双玻，2.0+2.0mm热增强玻璃</w:t>
            </w:r>
          </w:p>
        </w:tc>
      </w:tr>
      <w:tr w14:paraId="4AD346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7B4E600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封装材料</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0DE693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POE</w:t>
            </w:r>
          </w:p>
        </w:tc>
      </w:tr>
      <w:tr w14:paraId="6E64E3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73B5D6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背板材料</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763B1DC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玻璃</w:t>
            </w:r>
          </w:p>
        </w:tc>
      </w:tr>
      <w:tr w14:paraId="6FE3DF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42AAD80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边框</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5E6BEFC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氧化铝合金</w:t>
            </w:r>
          </w:p>
        </w:tc>
      </w:tr>
      <w:tr w14:paraId="693225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608E46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尺寸</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301F8E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2278×1134×35mm（L×W×H）</w:t>
            </w:r>
          </w:p>
        </w:tc>
      </w:tr>
      <w:tr w14:paraId="188585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4" w:hRule="atLeast"/>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48883A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最大抗压强度</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0C22DA5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正面最大静态荷载5400Pa</w:t>
            </w:r>
          </w:p>
          <w:p w14:paraId="15ABEC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背面最大静态荷载2400Pa</w:t>
            </w:r>
          </w:p>
        </w:tc>
      </w:tr>
      <w:tr w14:paraId="205477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4" w:space="0"/>
              <w:right w:val="single" w:color="000000" w:sz="4" w:space="0"/>
            </w:tcBorders>
            <w:shd w:val="clear"/>
            <w:tcMar>
              <w:left w:w="108" w:type="dxa"/>
              <w:right w:w="108" w:type="dxa"/>
            </w:tcMar>
            <w:vAlign w:val="center"/>
          </w:tcPr>
          <w:p w14:paraId="1329E8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抗冰雹系数</w:t>
            </w:r>
          </w:p>
        </w:tc>
        <w:tc>
          <w:tcPr>
            <w:tcW w:w="4097" w:type="dxa"/>
            <w:tcBorders>
              <w:top w:val="single" w:color="000000" w:sz="4" w:space="0"/>
              <w:left w:val="single" w:color="000000" w:sz="4" w:space="0"/>
              <w:bottom w:val="single" w:color="000000" w:sz="4" w:space="0"/>
              <w:right w:val="single" w:color="000000" w:sz="12" w:space="0"/>
            </w:tcBorders>
            <w:shd w:val="clear"/>
            <w:tcMar>
              <w:left w:w="108" w:type="dxa"/>
              <w:right w:w="108" w:type="dxa"/>
            </w:tcMar>
            <w:vAlign w:val="center"/>
          </w:tcPr>
          <w:p w14:paraId="3487BE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直径25mm冰雹以23m/s速度撞击不损坏</w:t>
            </w:r>
          </w:p>
        </w:tc>
      </w:tr>
      <w:tr w14:paraId="2980AD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0" w:type="dxa"/>
            <w:bottom w:w="0" w:type="dxa"/>
            <w:right w:w="0" w:type="dxa"/>
          </w:tblCellMar>
        </w:tblPrEx>
        <w:trPr>
          <w:tblCellSpacing w:w="0" w:type="dxa"/>
          <w:jc w:val="center"/>
        </w:trPr>
        <w:tc>
          <w:tcPr>
            <w:tcW w:w="2630" w:type="dxa"/>
            <w:tcBorders>
              <w:top w:val="single" w:color="000000" w:sz="4" w:space="0"/>
              <w:left w:val="single" w:color="000000" w:sz="12" w:space="0"/>
              <w:bottom w:val="single" w:color="000000" w:sz="12" w:space="0"/>
              <w:right w:val="single" w:color="000000" w:sz="4" w:space="0"/>
            </w:tcBorders>
            <w:shd w:val="clear"/>
            <w:tcMar>
              <w:left w:w="108" w:type="dxa"/>
              <w:right w:w="108" w:type="dxa"/>
            </w:tcMar>
            <w:vAlign w:val="center"/>
          </w:tcPr>
          <w:p w14:paraId="59B8E65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工作温度</w:t>
            </w:r>
          </w:p>
        </w:tc>
        <w:tc>
          <w:tcPr>
            <w:tcW w:w="4097" w:type="dxa"/>
            <w:tcBorders>
              <w:top w:val="single" w:color="000000" w:sz="4" w:space="0"/>
              <w:left w:val="single" w:color="000000" w:sz="4" w:space="0"/>
              <w:bottom w:val="single" w:color="000000" w:sz="12" w:space="0"/>
              <w:right w:val="single" w:color="000000" w:sz="12" w:space="0"/>
            </w:tcBorders>
            <w:shd w:val="clear"/>
            <w:tcMar>
              <w:left w:w="108" w:type="dxa"/>
              <w:right w:w="108" w:type="dxa"/>
            </w:tcMar>
            <w:vAlign w:val="center"/>
          </w:tcPr>
          <w:p w14:paraId="1439CE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-40℃/+85℃</w:t>
            </w:r>
          </w:p>
        </w:tc>
      </w:tr>
    </w:tbl>
    <w:p w14:paraId="4F415D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（2）支架基础</w:t>
      </w:r>
    </w:p>
    <w:p w14:paraId="1D2E14A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本工程要求承包人根据场区地质条件选用合适的支架基础。承包人采用基础的设计、制造以及施工工艺应符合（但不限于）下列规范与标准（下列技术标准有经修订的最新版本以最新版本标准执行，各标准间有冲突的以高标准执行）：</w:t>
      </w:r>
    </w:p>
    <w:p w14:paraId="342B6C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 175  通用硅酸盐水泥 </w:t>
      </w:r>
    </w:p>
    <w:p w14:paraId="110A32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GB/T 700 碳素结构钢</w:t>
      </w:r>
    </w:p>
    <w:p w14:paraId="65DD8C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GB/T 701 低碳钢热轧圆盘条 </w:t>
      </w:r>
    </w:p>
    <w:p w14:paraId="195512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GB 1499.2 钢筋混凝土用钢  第2部分：热轧带肋钢筋</w:t>
      </w:r>
    </w:p>
    <w:p w14:paraId="014C72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GB/T 1596 预应力混凝土用钢棒</w:t>
      </w:r>
    </w:p>
    <w:p w14:paraId="57DD7C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 8076 混凝土外加剂 </w:t>
      </w:r>
    </w:p>
    <w:p w14:paraId="4ABB71D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 10854 钢结构焊缝外形尺寸 </w:t>
      </w:r>
    </w:p>
    <w:p w14:paraId="35BFBC4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 13476 先张法预应力混凝土管桩 </w:t>
      </w:r>
    </w:p>
    <w:p w14:paraId="64D6F3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 50164 混凝土质量控制标准  </w:t>
      </w:r>
    </w:p>
    <w:p w14:paraId="7249AC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 50205 钢结构工程施工质量验收规范 </w:t>
      </w:r>
    </w:p>
    <w:p w14:paraId="7D42EF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GB/T 5223.3 预应力混凝土用钢棒 </w:t>
      </w:r>
    </w:p>
    <w:p w14:paraId="0F1963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GB/T 14684 建筑用砂  </w:t>
      </w:r>
    </w:p>
    <w:p w14:paraId="076E96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GB/T 14685 建筑用卵石、碎石  </w:t>
      </w:r>
    </w:p>
    <w:p w14:paraId="5B3C51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GB/T 18046 用于水泥和混凝土中的粒化高炉矿渣粉</w:t>
      </w:r>
    </w:p>
    <w:p w14:paraId="62764B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GB/T 18736 高强高性能混凝土用矿物外加剂</w:t>
      </w:r>
    </w:p>
    <w:p w14:paraId="4462C3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GB/T 50081 普通混凝土力学性能试验方法标准 </w:t>
      </w:r>
    </w:p>
    <w:p w14:paraId="31F8158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GB 50164 混凝土质量控制标准</w:t>
      </w:r>
    </w:p>
    <w:p w14:paraId="4155E8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GB 107 混凝土强度检验评定标准</w:t>
      </w:r>
    </w:p>
    <w:p w14:paraId="0DAA79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GBJ 107 混凝土强度检验评定标准 </w:t>
      </w:r>
    </w:p>
    <w:p w14:paraId="24E550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JC/T 947 先张法预应力混凝土管桩用端板 </w:t>
      </w:r>
    </w:p>
    <w:p w14:paraId="2F6C177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JC/T 540 混凝土制品用低碳冷拔钢丝</w:t>
      </w:r>
    </w:p>
    <w:p w14:paraId="0E1BB7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JC/T 950 预应力高强混凝土管桩用硅砂粉</w:t>
      </w:r>
    </w:p>
    <w:p w14:paraId="6084721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JGJ 63 混凝土用水标准  </w:t>
      </w:r>
    </w:p>
    <w:p w14:paraId="2144BF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 xml:space="preserve">DBJT 08—92 先张法预应力混凝土管桩 </w:t>
      </w:r>
    </w:p>
    <w:p w14:paraId="1811C5C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JISA 5373：先张法预应力混凝土制品</w:t>
      </w:r>
    </w:p>
    <w:p w14:paraId="183F75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DGJ32TJ109 预应力混凝土管桩基础技术规程</w:t>
      </w:r>
    </w:p>
    <w:p w14:paraId="533A81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2）承包人应根据项目光伏场区地形标高以及地质条件确定桩长及桩基入土深度。</w:t>
      </w:r>
    </w:p>
    <w:p w14:paraId="1706DC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（3）箱变、逆变器、电缆分接箱选型要求</w:t>
      </w:r>
    </w:p>
    <w:p w14:paraId="6D2389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逆变器选择</w:t>
      </w:r>
    </w:p>
    <w:tbl>
      <w:tblPr>
        <w:tblW w:w="0" w:type="auto"/>
        <w:tblCellSpacing w:w="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444"/>
        <w:gridCol w:w="4415"/>
      </w:tblGrid>
      <w:tr w14:paraId="4F44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770EBD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产品型号</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1B3DCB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320kW</w:t>
            </w:r>
          </w:p>
        </w:tc>
      </w:tr>
      <w:tr w14:paraId="6E16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535F0D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输入（直流）</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0B5661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tc>
      </w:tr>
      <w:tr w14:paraId="2135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729FE9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最大输入电压</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38D688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1500V</w:t>
            </w:r>
          </w:p>
        </w:tc>
      </w:tr>
      <w:tr w14:paraId="7C18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3628C6D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最小输入电压 / 启动电压</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5A0D6A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500V / 550V</w:t>
            </w:r>
          </w:p>
        </w:tc>
      </w:tr>
      <w:tr w14:paraId="678E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70CE743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额定输入电压</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50AFD8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1080V</w:t>
            </w:r>
          </w:p>
        </w:tc>
      </w:tr>
      <w:tr w14:paraId="605C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3C0EA2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MPPT电压范围</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5541B4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500V ~ 1500V</w:t>
            </w:r>
          </w:p>
        </w:tc>
      </w:tr>
      <w:tr w14:paraId="2061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4D0D0A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满载MPPT电压范围</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5D5C28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860V ~ 1300V</w:t>
            </w:r>
          </w:p>
        </w:tc>
      </w:tr>
      <w:tr w14:paraId="28D6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54DDA4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MPPT数量</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3CDC2F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12（可选14/16路）</w:t>
            </w:r>
          </w:p>
        </w:tc>
      </w:tr>
      <w:tr w14:paraId="3AE2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5905CD8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每路MPPT最大输入组串数</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07F8F6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2</w:t>
            </w:r>
          </w:p>
        </w:tc>
      </w:tr>
      <w:tr w14:paraId="33EB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7EBE1D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最大输入电流</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6BA1228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12×40A（可选14×30A / 16×30A）</w:t>
            </w:r>
          </w:p>
        </w:tc>
      </w:tr>
      <w:tr w14:paraId="4780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2AA4A6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最大直流短路电流</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445A34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12×60A（可选14×60A / 16×60A）</w:t>
            </w:r>
          </w:p>
        </w:tc>
      </w:tr>
      <w:tr w14:paraId="1812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2675FC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输出（交流）</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4491D8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tc>
      </w:tr>
      <w:tr w14:paraId="6E01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0C492A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额定输出功率</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4ACF9D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320kW</w:t>
            </w:r>
          </w:p>
        </w:tc>
      </w:tr>
      <w:tr w14:paraId="6BC9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6597B8F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最大输出功率</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79E250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352kW</w:t>
            </w:r>
          </w:p>
        </w:tc>
      </w:tr>
      <w:tr w14:paraId="335B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47A789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最大输出视在功率</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295D30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352kVA</w:t>
            </w:r>
          </w:p>
        </w:tc>
      </w:tr>
      <w:tr w14:paraId="5655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51EACD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最大输出电流</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468B9A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254A</w:t>
            </w:r>
          </w:p>
        </w:tc>
      </w:tr>
      <w:tr w14:paraId="27EE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6AE7B9A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额定电网电压</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4B3677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3 / PE, 800V</w:t>
            </w:r>
          </w:p>
        </w:tc>
      </w:tr>
      <w:tr w14:paraId="7D54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7C063E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电网电压范围</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2E3446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640-920V</w:t>
            </w:r>
          </w:p>
        </w:tc>
      </w:tr>
      <w:tr w14:paraId="71CA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018BD6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额定电网频率</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1338C2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50Hz / 60Hz</w:t>
            </w:r>
          </w:p>
        </w:tc>
      </w:tr>
      <w:tr w14:paraId="1A56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099871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电网频率范围</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35C375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45 ~ 55Hz / 55 ~ 65Hz</w:t>
            </w:r>
          </w:p>
        </w:tc>
      </w:tr>
      <w:tr w14:paraId="7758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6CD246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总电流波形畸变率</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271621F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&lt; 3 %  （额定功率下）</w:t>
            </w:r>
          </w:p>
        </w:tc>
      </w:tr>
      <w:tr w14:paraId="593D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7AD4AC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直流分量</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3B568E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&lt;0.5 %In</w:t>
            </w:r>
          </w:p>
        </w:tc>
      </w:tr>
      <w:tr w14:paraId="4DDC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0C961A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功率因数</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0FC43F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0.99（额定功率下）</w:t>
            </w:r>
          </w:p>
        </w:tc>
      </w:tr>
      <w:tr w14:paraId="42BB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66629F3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功率因数可调范围</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266394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0.8超前 ~ 0.8滞后</w:t>
            </w:r>
          </w:p>
        </w:tc>
      </w:tr>
      <w:tr w14:paraId="10E6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75D0F7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效率</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19F3E1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tc>
      </w:tr>
      <w:tr w14:paraId="77E7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0ED17F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最大效率</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0F7C01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≥99.01%</w:t>
            </w:r>
          </w:p>
        </w:tc>
      </w:tr>
      <w:tr w14:paraId="3B4F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20A270A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中国效率</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208BA2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≥98.52%</w:t>
            </w:r>
          </w:p>
        </w:tc>
      </w:tr>
      <w:tr w14:paraId="1160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227C51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保护</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12A650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tc>
      </w:tr>
      <w:tr w14:paraId="673D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74D275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孤岛保护</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5A8D78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具备</w:t>
            </w:r>
          </w:p>
        </w:tc>
      </w:tr>
      <w:tr w14:paraId="0E97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32DE665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低电压穿越</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2163B1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具备</w:t>
            </w:r>
          </w:p>
        </w:tc>
      </w:tr>
      <w:tr w14:paraId="39AD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598114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直流反接保护</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618430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具备</w:t>
            </w:r>
          </w:p>
        </w:tc>
      </w:tr>
      <w:tr w14:paraId="68FE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6BF7A5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交流短路保护</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1E76C8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具备</w:t>
            </w:r>
          </w:p>
        </w:tc>
      </w:tr>
      <w:tr w14:paraId="03C9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3E0697B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漏电流保护</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5EB6D36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具备</w:t>
            </w:r>
          </w:p>
        </w:tc>
      </w:tr>
      <w:tr w14:paraId="5F62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0C84BD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电网监控</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3771808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具备</w:t>
            </w:r>
          </w:p>
        </w:tc>
      </w:tr>
      <w:tr w14:paraId="4F0E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44F8F0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直流开关</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2362AF3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具备</w:t>
            </w:r>
          </w:p>
        </w:tc>
      </w:tr>
      <w:tr w14:paraId="0F47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3AB67F1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组串检测</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3E8BB1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具备</w:t>
            </w:r>
          </w:p>
        </w:tc>
      </w:tr>
      <w:tr w14:paraId="5EDE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4B8942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PID防护及修复</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42093D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可选</w:t>
            </w:r>
          </w:p>
        </w:tc>
      </w:tr>
      <w:tr w14:paraId="6E9E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043406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浪涌保护</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6653AF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直流二级 / 交流二级</w:t>
            </w:r>
          </w:p>
        </w:tc>
      </w:tr>
      <w:tr w14:paraId="2EF2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7E1E2D6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尺寸（宽×高×深）</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7F1BAE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tc>
      </w:tr>
      <w:tr w14:paraId="33FE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6DE38A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重量</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106B5C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tc>
      </w:tr>
      <w:tr w14:paraId="4D8A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514EFA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安装方式</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271CE6A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壁挂式</w:t>
            </w:r>
          </w:p>
        </w:tc>
      </w:tr>
      <w:tr w14:paraId="5224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05F765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隔离方式</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7502E8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无变压器</w:t>
            </w:r>
          </w:p>
        </w:tc>
      </w:tr>
      <w:tr w14:paraId="72B0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246D24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防护等级</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26804E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IP66</w:t>
            </w:r>
          </w:p>
        </w:tc>
      </w:tr>
      <w:tr w14:paraId="1EDA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35514F5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夜间自耗电</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087310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&lt;6W</w:t>
            </w:r>
          </w:p>
        </w:tc>
      </w:tr>
      <w:tr w14:paraId="1D4F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276D51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工作温度范围</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64A202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-30 ~ 60 ℃</w:t>
            </w:r>
          </w:p>
        </w:tc>
      </w:tr>
      <w:tr w14:paraId="2F8E5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2A8CBF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工作湿度范围</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292745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 ~ 100%</w:t>
            </w:r>
          </w:p>
        </w:tc>
      </w:tr>
      <w:tr w14:paraId="30D1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15DF60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冷却方式</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550F24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智能强制风冷</w:t>
            </w:r>
          </w:p>
        </w:tc>
      </w:tr>
      <w:tr w14:paraId="6FF5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734B3F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最高工作海拔</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71759F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5000m（&gt;4000m降额）</w:t>
            </w:r>
          </w:p>
        </w:tc>
      </w:tr>
      <w:tr w14:paraId="4E5A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41976B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显示</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14084C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LED，Bluetooth +APP</w:t>
            </w:r>
          </w:p>
        </w:tc>
      </w:tr>
      <w:tr w14:paraId="2585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2A980D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通讯</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3F49A0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RS485 / PLC</w:t>
            </w:r>
          </w:p>
        </w:tc>
      </w:tr>
      <w:tr w14:paraId="462C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blCellSpacing w:w="0" w:type="dxa"/>
        </w:trPr>
        <w:tc>
          <w:tcPr>
            <w:tcW w:w="3444" w:type="dxa"/>
            <w:tcBorders>
              <w:top w:val="single" w:color="000000" w:sz="4" w:space="0"/>
              <w:left w:val="single" w:color="000000" w:sz="4" w:space="0"/>
              <w:bottom w:val="single" w:color="000000" w:sz="4" w:space="0"/>
              <w:right w:val="single" w:color="000000" w:sz="4" w:space="0"/>
            </w:tcBorders>
            <w:shd w:val="clear"/>
            <w:vAlign w:val="center"/>
          </w:tcPr>
          <w:p w14:paraId="69B1E1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符合标准</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14:paraId="55FD16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IEC 62109- 1，IEC 62109-2，IEC 61727，IEC 62116，GB/T 19964，NB/T 32004-2018，CGC/GF 035-2013， CNCA/CTS 0002-2014，Q/GDW 1617-2015，GB/T 32826-2016，   GB/T 32892-2016，GB/T 37408-2019</w:t>
            </w:r>
          </w:p>
        </w:tc>
      </w:tr>
    </w:tbl>
    <w:p w14:paraId="317607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2）箱变选择</w:t>
      </w:r>
    </w:p>
    <w:p w14:paraId="4AD661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变压器额定容量：以设计院确认为主。</w:t>
      </w:r>
    </w:p>
    <w:p w14:paraId="3639F7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额定电压：37±2x2.5%/0.8kV</w:t>
      </w:r>
    </w:p>
    <w:p w14:paraId="0D221D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阻抗：Ud=6.5%</w:t>
      </w:r>
    </w:p>
    <w:p w14:paraId="0551BD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连接组别：D，Y11</w:t>
      </w:r>
    </w:p>
    <w:p w14:paraId="662615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3）电缆分接箱选择</w:t>
      </w:r>
    </w:p>
    <w:p w14:paraId="01F599D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电缆分接箱进线回路应配置有隔离（接地）开关，配置避雷器、带电显示器等有助于隔离故障、降低故障影响和便于运行维护的相关设备。</w:t>
      </w:r>
    </w:p>
    <w:p w14:paraId="7D3821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4）箱变基础</w:t>
      </w:r>
    </w:p>
    <w:p w14:paraId="6BDFCF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箱变基础分散布置在光伏场区内，其设计应充分考虑工程场区防洪水位、地质特点。其结构要求合理，满足箱变设备冬季低温启动、夏季散热、防风防雨防高湿防腐蚀、设备检修等要求。</w:t>
      </w:r>
    </w:p>
    <w:p w14:paraId="5B70B7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5）电缆选型及排布</w:t>
      </w:r>
    </w:p>
    <w:p w14:paraId="47CEA0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逆变器直流输入电缆采用阻燃铠装交联聚乙烯绝缘护套电力电缆。逆变器输出交流采用阻燃铠装交联聚乙烯绝缘护套电力电缆连接至箱变低压侧。</w:t>
      </w:r>
    </w:p>
    <w:p w14:paraId="0A43185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光伏方阵组串的直流输出电缆，东西方向的电缆沿光伏组件安装支架直接进入组串式逆变器，南北向电缆采用电缆槽盒方式敷设进入组串式逆变器。组串式逆变器交流输出电缆铺设方式采用电缆槽盒方式敷设进入箱变低压侧。电缆槽盒可就近利用光伏方阵组串的支架、地面基础作为支撑。敷设电缆与道路交叉时，穿保护管。</w:t>
      </w:r>
    </w:p>
    <w:p w14:paraId="754C195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电缆敷设考虑后期检修余量，参照《GB50217-2016电力电缆敷设规范》中要求，35kV电压等级以下电缆按50cm预留，35kV电压等级按1m预留。槽盒优先考虑沿支架敷设排布，减少占地。</w:t>
      </w:r>
    </w:p>
    <w:p w14:paraId="5D5C70F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6）光伏场区围栏</w:t>
      </w:r>
    </w:p>
    <w:p w14:paraId="712FB1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根据项目场区距离居民区及道路较近，在有条件的光伏场区四周应设置隔离增高钢丝网，防止人为对光伏组件破坏行为。难以设置隔离铁丝网的场区也需设置相应的隔离措施。</w:t>
      </w:r>
    </w:p>
    <w:p w14:paraId="05F9D4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7）集电线路工程</w:t>
      </w:r>
    </w:p>
    <w:p w14:paraId="4418224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光伏电站内的35kV集电线路采用电缆敷设及架空线路结合的形式，由承包人自行设计，35kV电缆间的连接采用电缆对接箱方式，不允许使用中间接头方式。</w:t>
      </w:r>
    </w:p>
    <w:p w14:paraId="0584E3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1.4.4场内道路</w:t>
      </w:r>
    </w:p>
    <w:p w14:paraId="3A371B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1）路基</w:t>
      </w:r>
    </w:p>
    <w:p w14:paraId="659664A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根据沿线自然条件、工程地质条件和筑路材料的分布情况，依据交通部部颁《公路工程技术标准》（JTG B01-2014）、《公路路基设计规范》（JTG D30-2015）以及外业勘察调查资料进行设计。选择适宜的路基断面形式、边坡坡度及防护措施，以保证公路营运时路基具有足够的强度、稳定性和耐久性。</w:t>
      </w:r>
    </w:p>
    <w:p w14:paraId="4D3568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路基应能承受交通荷载的作用，具有足够的强度、稳定性和耐久性；路基设计应因地制宜，就地取材，移挖作填。</w:t>
      </w:r>
    </w:p>
    <w:p w14:paraId="2D43F4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路基设计时根据道路等级、技术标准和沿线地质、地形、水温、气候和筑路材料等条件，结合施工方法进行设计。</w:t>
      </w:r>
    </w:p>
    <w:p w14:paraId="59EE28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2）路面</w:t>
      </w:r>
    </w:p>
    <w:p w14:paraId="20726D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路面遵循因地制宜、合理选材的原则比选路面结构。</w:t>
      </w:r>
    </w:p>
    <w:p w14:paraId="6AA946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3）道路排水</w:t>
      </w:r>
    </w:p>
    <w:p w14:paraId="7C0812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承包人根据道路设计方案自行设计。</w:t>
      </w:r>
    </w:p>
    <w:p w14:paraId="2B3E830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（2）场内道路施工标准</w:t>
      </w:r>
    </w:p>
    <w:p w14:paraId="0D1BC70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按《公路路基施工技术规范》（JTG /T3310-2019）、《公路水泥混凝土路面施工技术规范》（JTG D40-2011）、《公路工程质量检验评定标准》（JTG F80 1-2019），其他按公路相关规范执行。</w:t>
      </w:r>
    </w:p>
    <w:p w14:paraId="782706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1.5 当地主要原材料价格</w:t>
      </w:r>
    </w:p>
    <w:p w14:paraId="0E45A0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由承包人自行获取相关价格信息。</w:t>
      </w:r>
    </w:p>
    <w:p w14:paraId="556F086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1.6 工程进度节点计划</w:t>
      </w:r>
    </w:p>
    <w:p w14:paraId="364344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见合同协议书约定。</w:t>
      </w:r>
    </w:p>
    <w:p w14:paraId="36D6B3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1.7 设计进度节点</w:t>
      </w:r>
    </w:p>
    <w:p w14:paraId="5E2DAE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 初步设计完成时间：中标通知书发出后20天内提交给发包人。</w:t>
      </w:r>
    </w:p>
    <w:p w14:paraId="587A558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（2）主要设备招标采购文件提交时间在第二次设计联络会上讨论确定。</w:t>
      </w:r>
    </w:p>
    <w:p w14:paraId="7AE3C4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（3）其他设计文件的完成时间由承包人根据施工进度要求自己确定。</w:t>
      </w:r>
    </w:p>
    <w:p w14:paraId="4CADE2D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1.8 安全文明施工</w:t>
      </w:r>
    </w:p>
    <w:p w14:paraId="78A778F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1.8.1 承包人的安全保护责任</w:t>
      </w:r>
    </w:p>
    <w:p w14:paraId="16A397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（1）承包人应根据国家有关法律法规的规定建立健全安全生产体系，落实安全生产责任制，认真履行安全生产法律主体责任。</w:t>
      </w:r>
    </w:p>
    <w:p w14:paraId="736893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承包人应坚持“安全第一，预防为主，综合治理”的方针，建立、健全安全生产责任制度，制定各项安全生产规章制度和操作规程，建立完善的施工安全生产设施，健全安全生产保证体系，加强监督管理，切实保障全体人员的生命和财产安全。</w:t>
      </w:r>
    </w:p>
    <w:p w14:paraId="31F879B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须按本合同《合同条款》规定履行其安全保护职责。承包人应在与发包人签订《安全生产协议书》后的28天内编制一份本合同工程施工安全措施文件报送监理人审批，其内容应包括安全机构的设置、专职人员的配备以及防火、防毒、防噪声、防洪、救护、警报、治安、爆破、民爆器材管理及交通安全管理等的安全措施。</w:t>
      </w:r>
    </w:p>
    <w:p w14:paraId="60E5D72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承包人应加强安全生产宣传和教育培训工作，对全体员工（包括临时工和外协工）严格执行三级安全教育、班前会和安全交底制度。应编印安全防护手册发给全体职工。工人上岗前应进行安全操作的考试和考核，合格者才准上岗。特种作业人员必须持有效作业证上岗，并建立台账，实行动态管理。</w:t>
      </w:r>
    </w:p>
    <w:p w14:paraId="555DFA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承包人必须遵守国家颁布的有关安全规程及发包人（或监理人）制定的各项安全文明管理制度或规定。若承包人责任区内发生安全事故时，承包人应按《生产安全事故报告和调查处理条例（中华人民共和国国务院令第493号）》相关条款的要求进行报告，并在事故发生后2h内（同时）向监理人及发包人提交事故情况的书面报告（事故快报）。</w:t>
      </w:r>
    </w:p>
    <w:p w14:paraId="086799A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（5）承包人应加强对危险作业的安全管理，建立独立的安全管理部门和车辆管理机构，并配备足够的安全管理专职人员。</w:t>
      </w:r>
    </w:p>
    <w:p w14:paraId="1599CA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（6）承包人必须做好安全标准化工作，安全防护设施必须满足国家和行业标准要求，承包人应为施工作业人员配置必需的劳动保护用品。承包人应对其施工安全措施不到位而发生的安全事故承担责任。</w:t>
      </w:r>
    </w:p>
    <w:p w14:paraId="7652AF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（7）承包人应接受和配合发包人、监理人对其安全生产工作的检查和现场安全隐患排查，按照发包人、监理人提出的整改要求认真整改落实，并接受发包人、监理人依据相关管理制度对其违章行为实施的处罚。</w:t>
      </w:r>
    </w:p>
    <w:p w14:paraId="7FE1156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1.8.2 安全措施</w:t>
      </w:r>
    </w:p>
    <w:p w14:paraId="10D7CE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（1）安全措施由安全文明施工措施、专项安全技术措施两部分组成：</w:t>
      </w:r>
    </w:p>
    <w:p w14:paraId="2F7892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安全文明施工措施费即通常所称的常规安全措施费，指承包商按照国家有关规定和施工安全标准，建立健全安全生产管理体系，购置施工安全防护用具，落实安全施工措施，改善安全生产条件，履行法定安全管理义务，加强安全生产管理等所需的费用。具体如下：</w:t>
      </w:r>
    </w:p>
    <w:p w14:paraId="518F15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1）建立健全安全生产管理体系，配置足够且合格的安全管理人员，管理体系有效运行。</w:t>
      </w:r>
    </w:p>
    <w:p w14:paraId="061275B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2）建立完善的安全管理制度并严格执行。</w:t>
      </w:r>
    </w:p>
    <w:p w14:paraId="08EC3F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3）建立安全生产责任制，理顺管理关系，层层落实安全责任。</w:t>
      </w:r>
    </w:p>
    <w:p w14:paraId="2AAF719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4）做好安全教育培训和宣传工作，落实好“三级安全教育”制度。</w:t>
      </w:r>
    </w:p>
    <w:p w14:paraId="7A5258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5）按照安全标准化要求做好现场安全设施的设计、实施、维护工作，创造现场安全的施工环境。</w:t>
      </w:r>
    </w:p>
    <w:p w14:paraId="1B09AF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6）按规定召开各类、各级安全会议。</w:t>
      </w:r>
    </w:p>
    <w:p w14:paraId="496A57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7）按规范做好施工技术措施、安全技术措施，并对相关人员进行安全交底。</w:t>
      </w:r>
    </w:p>
    <w:p w14:paraId="4546FA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8）按规定做好特种设备及特种作业人员安全管理。</w:t>
      </w:r>
    </w:p>
    <w:p w14:paraId="7C0C70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9）按规定做好安全检查与隐患排查治理、反违章工作，做好生产现场安全管理工作，有效消除安全隐患。</w:t>
      </w:r>
    </w:p>
    <w:p w14:paraId="3480C7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10）做好施工安全性评价和危险源管理工作。</w:t>
      </w:r>
    </w:p>
    <w:p w14:paraId="663C32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11）按要求做好劳动防护和职业健康管理。</w:t>
      </w:r>
    </w:p>
    <w:p w14:paraId="5E3EA6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12）按要求做好应急管理工作。</w:t>
      </w:r>
    </w:p>
    <w:p w14:paraId="48088A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13）做好外包工程安全管理。</w:t>
      </w:r>
    </w:p>
    <w:p w14:paraId="1AFB7F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14）严格按规定做好安全事故报告、调查与处理等工作。</w:t>
      </w:r>
    </w:p>
    <w:p w14:paraId="33350E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15）开展安全生产达标投产、安全生产标准化建设和达标评级等工作。</w:t>
      </w:r>
    </w:p>
    <w:p w14:paraId="24C769B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16）内部开展安全考核与奖惩工作。</w:t>
      </w:r>
    </w:p>
    <w:p w14:paraId="0AAFA5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17）其他与安全生产直接相关的费用。</w:t>
      </w:r>
    </w:p>
    <w:p w14:paraId="22F3EB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安全文明施工措施费使用按国家和行业有关规定及合同条款要求办理。</w:t>
      </w:r>
    </w:p>
    <w:p w14:paraId="13AED9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 专项安全技术措施</w:t>
      </w:r>
    </w:p>
    <w:p w14:paraId="7CCF6F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要求对危险性较大的分部分项工程编制专项安全技术措施，超过一定规模的，承包人需组织专家评审。</w:t>
      </w:r>
    </w:p>
    <w:p w14:paraId="729BFE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（3）劳动保护</w:t>
      </w:r>
    </w:p>
    <w:p w14:paraId="78D5D7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按照国家劳动保护法的规定，定期发给在现场施工的工作人员必需的劳动保护用品，如安全帽、水鞋、雨衣、手套、手灯、防护面具和安全带等。承包人还应按照劳动保护法的有关规定发给特殊工种作业人员的劳动保护津贴和营养补助。</w:t>
      </w:r>
    </w:p>
    <w:p w14:paraId="4E0F499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承包人应按照发包人的规定配置安全帽等个人防护用品，保证现场管理规范有序。</w:t>
      </w:r>
    </w:p>
    <w:p w14:paraId="0FC606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 照明安全</w:t>
      </w:r>
    </w:p>
    <w:p w14:paraId="156983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承包人应在施工作业区、施工道路、临时设施、办公区和生活区设置足够的照明，其照明度应不低于《最低照明度的规定数值》表的规定。</w:t>
      </w:r>
    </w:p>
    <w:p w14:paraId="3466FF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bdr w:val="none" w:color="auto" w:sz="0" w:space="0"/>
        </w:rPr>
        <w:t> </w:t>
      </w:r>
    </w:p>
    <w:p w14:paraId="060263C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表1.8.2-1 最低照明度的规定数值</w:t>
      </w:r>
    </w:p>
    <w:tbl>
      <w:tblPr>
        <w:tblW w:w="0" w:type="auto"/>
        <w:jc w:val="center"/>
        <w:tblCellSpacing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autofit"/>
        <w:tblCellMar>
          <w:top w:w="0" w:type="dxa"/>
          <w:left w:w="108" w:type="dxa"/>
          <w:bottom w:w="0" w:type="dxa"/>
          <w:right w:w="108" w:type="dxa"/>
        </w:tblCellMar>
      </w:tblPr>
      <w:tblGrid>
        <w:gridCol w:w="981"/>
        <w:gridCol w:w="2620"/>
        <w:gridCol w:w="970"/>
        <w:gridCol w:w="966"/>
        <w:gridCol w:w="1939"/>
        <w:gridCol w:w="1106"/>
      </w:tblGrid>
      <w:tr w14:paraId="5763B2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rHeight w:val="340" w:hRule="atLeast"/>
          <w:tblCellSpacing w:w="0" w:type="dxa"/>
          <w:jc w:val="center"/>
        </w:trPr>
        <w:tc>
          <w:tcPr>
            <w:tcW w:w="788" w:type="dxa"/>
            <w:tcBorders>
              <w:top w:val="single" w:color="000000" w:sz="12" w:space="0"/>
              <w:left w:val="single" w:color="000000" w:sz="12" w:space="0"/>
              <w:bottom w:val="single" w:color="000000" w:sz="6" w:space="0"/>
              <w:right w:val="single" w:color="000000" w:sz="6" w:space="0"/>
            </w:tcBorders>
            <w:shd w:val="clear"/>
            <w:vAlign w:val="center"/>
          </w:tcPr>
          <w:p w14:paraId="3BEC95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序号</w:t>
            </w:r>
          </w:p>
        </w:tc>
        <w:tc>
          <w:tcPr>
            <w:tcW w:w="3121" w:type="dxa"/>
            <w:tcBorders>
              <w:top w:val="single" w:color="000000" w:sz="12" w:space="0"/>
              <w:left w:val="single" w:color="000000" w:sz="6" w:space="0"/>
              <w:bottom w:val="single" w:color="000000" w:sz="6" w:space="0"/>
              <w:right w:val="single" w:color="000000" w:sz="6" w:space="0"/>
            </w:tcBorders>
            <w:shd w:val="clear"/>
            <w:vAlign w:val="center"/>
          </w:tcPr>
          <w:p w14:paraId="7AAA0DB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作业内容和地区</w:t>
            </w:r>
          </w:p>
        </w:tc>
        <w:tc>
          <w:tcPr>
            <w:tcW w:w="960" w:type="dxa"/>
            <w:tcBorders>
              <w:top w:val="single" w:color="000000" w:sz="12" w:space="0"/>
              <w:left w:val="single" w:color="000000" w:sz="6" w:space="0"/>
              <w:bottom w:val="single" w:color="000000" w:sz="6" w:space="0"/>
              <w:right w:val="single" w:color="000000" w:sz="6" w:space="0"/>
            </w:tcBorders>
            <w:shd w:val="clear"/>
            <w:vAlign w:val="center"/>
          </w:tcPr>
          <w:p w14:paraId="11C009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照明度</w:t>
            </w:r>
          </w:p>
        </w:tc>
        <w:tc>
          <w:tcPr>
            <w:tcW w:w="773" w:type="dxa"/>
            <w:tcBorders>
              <w:top w:val="single" w:color="000000" w:sz="12" w:space="0"/>
              <w:left w:val="single" w:color="000000" w:sz="6" w:space="0"/>
              <w:bottom w:val="single" w:color="000000" w:sz="6" w:space="0"/>
              <w:right w:val="single" w:color="000000" w:sz="6" w:space="0"/>
            </w:tcBorders>
            <w:shd w:val="clear"/>
            <w:vAlign w:val="center"/>
          </w:tcPr>
          <w:p w14:paraId="73DF62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序号</w:t>
            </w:r>
          </w:p>
        </w:tc>
        <w:tc>
          <w:tcPr>
            <w:tcW w:w="2233" w:type="dxa"/>
            <w:tcBorders>
              <w:top w:val="single" w:color="000000" w:sz="12" w:space="0"/>
              <w:left w:val="single" w:color="000000" w:sz="6" w:space="0"/>
              <w:bottom w:val="single" w:color="000000" w:sz="6" w:space="0"/>
              <w:right w:val="single" w:color="000000" w:sz="6" w:space="0"/>
            </w:tcBorders>
            <w:shd w:val="clear"/>
            <w:vAlign w:val="center"/>
          </w:tcPr>
          <w:p w14:paraId="0F5456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作业内容和地区</w:t>
            </w:r>
          </w:p>
        </w:tc>
        <w:tc>
          <w:tcPr>
            <w:tcW w:w="1092" w:type="dxa"/>
            <w:tcBorders>
              <w:top w:val="single" w:color="000000" w:sz="12" w:space="0"/>
              <w:left w:val="single" w:color="000000" w:sz="6" w:space="0"/>
              <w:bottom w:val="single" w:color="000000" w:sz="6" w:space="0"/>
              <w:right w:val="single" w:color="000000" w:sz="12" w:space="0"/>
            </w:tcBorders>
            <w:shd w:val="clear"/>
            <w:vAlign w:val="center"/>
          </w:tcPr>
          <w:p w14:paraId="28F3BF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照明度</w:t>
            </w:r>
          </w:p>
        </w:tc>
      </w:tr>
      <w:tr w14:paraId="2B5B62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blCellSpacing w:w="0" w:type="dxa"/>
          <w:jc w:val="center"/>
        </w:trPr>
        <w:tc>
          <w:tcPr>
            <w:tcW w:w="788" w:type="dxa"/>
            <w:vMerge w:val="restart"/>
            <w:tcBorders>
              <w:top w:val="single" w:color="000000" w:sz="6" w:space="0"/>
              <w:left w:val="single" w:color="000000" w:sz="12" w:space="0"/>
              <w:bottom w:val="single" w:color="000000" w:sz="6" w:space="0"/>
              <w:right w:val="single" w:color="000000" w:sz="6" w:space="0"/>
            </w:tcBorders>
            <w:shd w:val="clear"/>
            <w:vAlign w:val="center"/>
          </w:tcPr>
          <w:p w14:paraId="403DCC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w:t>
            </w:r>
          </w:p>
        </w:tc>
        <w:tc>
          <w:tcPr>
            <w:tcW w:w="3121" w:type="dxa"/>
            <w:vMerge w:val="restart"/>
            <w:tcBorders>
              <w:top w:val="single" w:color="000000" w:sz="6" w:space="0"/>
              <w:left w:val="single" w:color="000000" w:sz="6" w:space="0"/>
              <w:bottom w:val="single" w:color="000000" w:sz="6" w:space="0"/>
              <w:right w:val="single" w:color="000000" w:sz="6" w:space="0"/>
            </w:tcBorders>
            <w:shd w:val="clear"/>
            <w:vAlign w:val="center"/>
          </w:tcPr>
          <w:p w14:paraId="5311BF4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一般施工区、开挖和弃渣区、道路、堆料场、运输装载平台、临时生活区道路</w:t>
            </w:r>
          </w:p>
        </w:tc>
        <w:tc>
          <w:tcPr>
            <w:tcW w:w="960" w:type="dxa"/>
            <w:vMerge w:val="restart"/>
            <w:tcBorders>
              <w:top w:val="single" w:color="000000" w:sz="6" w:space="0"/>
              <w:left w:val="single" w:color="000000" w:sz="6" w:space="0"/>
              <w:bottom w:val="single" w:color="000000" w:sz="6" w:space="0"/>
              <w:right w:val="single" w:color="000000" w:sz="6" w:space="0"/>
            </w:tcBorders>
            <w:shd w:val="clear"/>
            <w:vAlign w:val="center"/>
          </w:tcPr>
          <w:p w14:paraId="6AE659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30</w:t>
            </w:r>
          </w:p>
        </w:tc>
        <w:tc>
          <w:tcPr>
            <w:tcW w:w="773" w:type="dxa"/>
            <w:tcBorders>
              <w:top w:val="single" w:color="000000" w:sz="6" w:space="0"/>
              <w:left w:val="single" w:color="000000" w:sz="6" w:space="0"/>
              <w:bottom w:val="single" w:color="000000" w:sz="6" w:space="0"/>
              <w:right w:val="single" w:color="000000" w:sz="6" w:space="0"/>
            </w:tcBorders>
            <w:shd w:val="clear"/>
            <w:vAlign w:val="center"/>
          </w:tcPr>
          <w:p w14:paraId="4FCA62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4</w:t>
            </w:r>
          </w:p>
        </w:tc>
        <w:tc>
          <w:tcPr>
            <w:tcW w:w="2233" w:type="dxa"/>
            <w:tcBorders>
              <w:top w:val="single" w:color="000000" w:sz="6" w:space="0"/>
              <w:left w:val="single" w:color="000000" w:sz="6" w:space="0"/>
              <w:bottom w:val="single" w:color="000000" w:sz="6" w:space="0"/>
              <w:right w:val="single" w:color="000000" w:sz="6" w:space="0"/>
            </w:tcBorders>
            <w:shd w:val="clear"/>
            <w:vAlign w:val="center"/>
          </w:tcPr>
          <w:p w14:paraId="45FDFE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地弄和一般地下作业区</w:t>
            </w:r>
          </w:p>
        </w:tc>
        <w:tc>
          <w:tcPr>
            <w:tcW w:w="1092" w:type="dxa"/>
            <w:tcBorders>
              <w:top w:val="single" w:color="000000" w:sz="6" w:space="0"/>
              <w:left w:val="single" w:color="000000" w:sz="6" w:space="0"/>
              <w:bottom w:val="single" w:color="000000" w:sz="6" w:space="0"/>
              <w:right w:val="single" w:color="000000" w:sz="12" w:space="0"/>
            </w:tcBorders>
            <w:shd w:val="clear"/>
            <w:vAlign w:val="center"/>
          </w:tcPr>
          <w:p w14:paraId="73DD3E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50</w:t>
            </w:r>
          </w:p>
        </w:tc>
      </w:tr>
      <w:tr w14:paraId="6AEC76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blCellSpacing w:w="0" w:type="dxa"/>
          <w:jc w:val="center"/>
        </w:trPr>
        <w:tc>
          <w:tcPr>
            <w:tcW w:w="788" w:type="dxa"/>
            <w:vMerge w:val="continue"/>
            <w:tcBorders>
              <w:top w:val="single" w:color="000000" w:sz="6" w:space="0"/>
              <w:left w:val="single" w:color="000000" w:sz="12" w:space="0"/>
              <w:bottom w:val="single" w:color="000000" w:sz="6" w:space="0"/>
              <w:right w:val="single" w:color="000000" w:sz="6" w:space="0"/>
            </w:tcBorders>
            <w:shd w:val="clear"/>
            <w:vAlign w:val="center"/>
          </w:tcPr>
          <w:p w14:paraId="24940273">
            <w:pPr>
              <w:rPr>
                <w:rFonts w:hint="eastAsia" w:ascii="宋体"/>
                <w:sz w:val="24"/>
                <w:szCs w:val="24"/>
              </w:rPr>
            </w:pPr>
          </w:p>
        </w:tc>
        <w:tc>
          <w:tcPr>
            <w:tcW w:w="3121"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89EAAC4">
            <w:pPr>
              <w:rPr>
                <w:rFonts w:hint="eastAsia" w:ascii="宋体"/>
                <w:sz w:val="24"/>
                <w:szCs w:val="24"/>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1F909174">
            <w:pPr>
              <w:rPr>
                <w:rFonts w:hint="eastAsia" w:ascii="宋体"/>
                <w:sz w:val="24"/>
                <w:szCs w:val="24"/>
              </w:rPr>
            </w:pPr>
          </w:p>
        </w:tc>
        <w:tc>
          <w:tcPr>
            <w:tcW w:w="773" w:type="dxa"/>
            <w:tcBorders>
              <w:top w:val="single" w:color="000000" w:sz="6" w:space="0"/>
              <w:left w:val="single" w:color="000000" w:sz="6" w:space="0"/>
              <w:bottom w:val="single" w:color="000000" w:sz="6" w:space="0"/>
              <w:right w:val="single" w:color="000000" w:sz="6" w:space="0"/>
            </w:tcBorders>
            <w:shd w:val="clear"/>
            <w:vAlign w:val="center"/>
          </w:tcPr>
          <w:p w14:paraId="5A4173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w:t>
            </w:r>
          </w:p>
        </w:tc>
        <w:tc>
          <w:tcPr>
            <w:tcW w:w="2233" w:type="dxa"/>
            <w:tcBorders>
              <w:top w:val="single" w:color="000000" w:sz="6" w:space="0"/>
              <w:left w:val="single" w:color="000000" w:sz="6" w:space="0"/>
              <w:bottom w:val="single" w:color="000000" w:sz="6" w:space="0"/>
              <w:right w:val="single" w:color="000000" w:sz="6" w:space="0"/>
            </w:tcBorders>
            <w:shd w:val="clear"/>
            <w:vAlign w:val="center"/>
          </w:tcPr>
          <w:p w14:paraId="0B9523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安装间</w:t>
            </w:r>
          </w:p>
        </w:tc>
        <w:tc>
          <w:tcPr>
            <w:tcW w:w="1092" w:type="dxa"/>
            <w:tcBorders>
              <w:top w:val="single" w:color="000000" w:sz="6" w:space="0"/>
              <w:left w:val="single" w:color="000000" w:sz="6" w:space="0"/>
              <w:bottom w:val="single" w:color="000000" w:sz="6" w:space="0"/>
              <w:right w:val="single" w:color="000000" w:sz="12" w:space="0"/>
            </w:tcBorders>
            <w:shd w:val="clear"/>
            <w:vAlign w:val="center"/>
          </w:tcPr>
          <w:p w14:paraId="56E631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110</w:t>
            </w:r>
          </w:p>
        </w:tc>
      </w:tr>
      <w:tr w14:paraId="5EDD7A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blCellSpacing w:w="0" w:type="dxa"/>
          <w:jc w:val="center"/>
        </w:trPr>
        <w:tc>
          <w:tcPr>
            <w:tcW w:w="788" w:type="dxa"/>
            <w:tcBorders>
              <w:top w:val="single" w:color="000000" w:sz="6" w:space="0"/>
              <w:left w:val="single" w:color="000000" w:sz="12" w:space="0"/>
              <w:bottom w:val="single" w:color="000000" w:sz="6" w:space="0"/>
              <w:right w:val="single" w:color="000000" w:sz="6" w:space="0"/>
            </w:tcBorders>
            <w:shd w:val="clear"/>
            <w:vAlign w:val="center"/>
          </w:tcPr>
          <w:p w14:paraId="7F4D11F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2</w:t>
            </w:r>
          </w:p>
        </w:tc>
        <w:tc>
          <w:tcPr>
            <w:tcW w:w="3121" w:type="dxa"/>
            <w:tcBorders>
              <w:top w:val="single" w:color="000000" w:sz="6" w:space="0"/>
              <w:left w:val="single" w:color="000000" w:sz="6" w:space="0"/>
              <w:bottom w:val="single" w:color="000000" w:sz="6" w:space="0"/>
              <w:right w:val="single" w:color="000000" w:sz="6" w:space="0"/>
            </w:tcBorders>
            <w:shd w:val="clear"/>
            <w:vAlign w:val="center"/>
          </w:tcPr>
          <w:p w14:paraId="32C1DD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混凝土浇筑区、加油站、现场保养场</w:t>
            </w:r>
          </w:p>
        </w:tc>
        <w:tc>
          <w:tcPr>
            <w:tcW w:w="960" w:type="dxa"/>
            <w:tcBorders>
              <w:top w:val="single" w:color="000000" w:sz="6" w:space="0"/>
              <w:left w:val="single" w:color="000000" w:sz="6" w:space="0"/>
              <w:bottom w:val="single" w:color="000000" w:sz="6" w:space="0"/>
              <w:right w:val="single" w:color="000000" w:sz="6" w:space="0"/>
            </w:tcBorders>
            <w:shd w:val="clear"/>
            <w:vAlign w:val="center"/>
          </w:tcPr>
          <w:p w14:paraId="09DF5C8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50</w:t>
            </w:r>
          </w:p>
        </w:tc>
        <w:tc>
          <w:tcPr>
            <w:tcW w:w="773" w:type="dxa"/>
            <w:tcBorders>
              <w:top w:val="single" w:color="000000" w:sz="6" w:space="0"/>
              <w:left w:val="single" w:color="000000" w:sz="6" w:space="0"/>
              <w:bottom w:val="single" w:color="000000" w:sz="6" w:space="0"/>
              <w:right w:val="single" w:color="000000" w:sz="6" w:space="0"/>
            </w:tcBorders>
            <w:shd w:val="clear"/>
            <w:vAlign w:val="center"/>
          </w:tcPr>
          <w:p w14:paraId="364D803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6</w:t>
            </w:r>
          </w:p>
        </w:tc>
        <w:tc>
          <w:tcPr>
            <w:tcW w:w="2233" w:type="dxa"/>
            <w:tcBorders>
              <w:top w:val="single" w:color="000000" w:sz="6" w:space="0"/>
              <w:left w:val="single" w:color="000000" w:sz="6" w:space="0"/>
              <w:bottom w:val="single" w:color="000000" w:sz="6" w:space="0"/>
              <w:right w:val="single" w:color="000000" w:sz="6" w:space="0"/>
            </w:tcBorders>
            <w:shd w:val="clear"/>
            <w:vAlign w:val="center"/>
          </w:tcPr>
          <w:p w14:paraId="0C6545E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一般施工辅助工厂</w:t>
            </w:r>
          </w:p>
        </w:tc>
        <w:tc>
          <w:tcPr>
            <w:tcW w:w="1092" w:type="dxa"/>
            <w:tcBorders>
              <w:top w:val="single" w:color="000000" w:sz="6" w:space="0"/>
              <w:left w:val="single" w:color="000000" w:sz="6" w:space="0"/>
              <w:bottom w:val="single" w:color="000000" w:sz="6" w:space="0"/>
              <w:right w:val="single" w:color="000000" w:sz="12" w:space="0"/>
            </w:tcBorders>
            <w:shd w:val="clear"/>
            <w:vAlign w:val="center"/>
          </w:tcPr>
          <w:p w14:paraId="7F1502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110</w:t>
            </w:r>
          </w:p>
        </w:tc>
      </w:tr>
      <w:tr w14:paraId="320675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rHeight w:val="340" w:hRule="atLeast"/>
          <w:tblCellSpacing w:w="0" w:type="dxa"/>
          <w:jc w:val="center"/>
        </w:trPr>
        <w:tc>
          <w:tcPr>
            <w:tcW w:w="788" w:type="dxa"/>
            <w:tcBorders>
              <w:top w:val="single" w:color="000000" w:sz="6" w:space="0"/>
              <w:left w:val="single" w:color="000000" w:sz="12" w:space="0"/>
              <w:bottom w:val="single" w:color="000000" w:sz="12" w:space="0"/>
              <w:right w:val="single" w:color="000000" w:sz="6" w:space="0"/>
            </w:tcBorders>
            <w:shd w:val="clear"/>
            <w:vAlign w:val="center"/>
          </w:tcPr>
          <w:p w14:paraId="133B01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3</w:t>
            </w:r>
          </w:p>
        </w:tc>
        <w:tc>
          <w:tcPr>
            <w:tcW w:w="3121" w:type="dxa"/>
            <w:tcBorders>
              <w:top w:val="single" w:color="000000" w:sz="6" w:space="0"/>
              <w:left w:val="single" w:color="000000" w:sz="6" w:space="0"/>
              <w:bottom w:val="single" w:color="000000" w:sz="12" w:space="0"/>
              <w:right w:val="single" w:color="000000" w:sz="6" w:space="0"/>
            </w:tcBorders>
            <w:shd w:val="clear"/>
            <w:vAlign w:val="center"/>
          </w:tcPr>
          <w:p w14:paraId="4DE1C8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室内、仓库、走廊、门厅、出口过道</w:t>
            </w:r>
          </w:p>
        </w:tc>
        <w:tc>
          <w:tcPr>
            <w:tcW w:w="960" w:type="dxa"/>
            <w:tcBorders>
              <w:top w:val="single" w:color="000000" w:sz="6" w:space="0"/>
              <w:left w:val="single" w:color="000000" w:sz="6" w:space="0"/>
              <w:bottom w:val="single" w:color="000000" w:sz="12" w:space="0"/>
              <w:right w:val="single" w:color="000000" w:sz="6" w:space="0"/>
            </w:tcBorders>
            <w:shd w:val="clear"/>
            <w:vAlign w:val="center"/>
          </w:tcPr>
          <w:p w14:paraId="7CD37B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50</w:t>
            </w:r>
          </w:p>
        </w:tc>
        <w:tc>
          <w:tcPr>
            <w:tcW w:w="773" w:type="dxa"/>
            <w:tcBorders>
              <w:top w:val="single" w:color="000000" w:sz="6" w:space="0"/>
              <w:left w:val="single" w:color="000000" w:sz="6" w:space="0"/>
              <w:bottom w:val="single" w:color="000000" w:sz="12" w:space="0"/>
              <w:right w:val="single" w:color="000000" w:sz="6" w:space="0"/>
            </w:tcBorders>
            <w:shd w:val="clear"/>
            <w:vAlign w:val="center"/>
          </w:tcPr>
          <w:p w14:paraId="5EBDA9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7</w:t>
            </w:r>
          </w:p>
        </w:tc>
        <w:tc>
          <w:tcPr>
            <w:tcW w:w="2233" w:type="dxa"/>
            <w:tcBorders>
              <w:top w:val="single" w:color="000000" w:sz="6" w:space="0"/>
              <w:left w:val="single" w:color="000000" w:sz="6" w:space="0"/>
              <w:bottom w:val="single" w:color="000000" w:sz="12" w:space="0"/>
              <w:right w:val="single" w:color="000000" w:sz="6" w:space="0"/>
            </w:tcBorders>
            <w:shd w:val="clear"/>
            <w:vAlign w:val="center"/>
          </w:tcPr>
          <w:p w14:paraId="29835A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特殊的维修间</w:t>
            </w:r>
          </w:p>
        </w:tc>
        <w:tc>
          <w:tcPr>
            <w:tcW w:w="1092" w:type="dxa"/>
            <w:tcBorders>
              <w:top w:val="single" w:color="000000" w:sz="6" w:space="0"/>
              <w:left w:val="single" w:color="000000" w:sz="6" w:space="0"/>
              <w:bottom w:val="single" w:color="000000" w:sz="12" w:space="0"/>
              <w:right w:val="single" w:color="000000" w:sz="12" w:space="0"/>
            </w:tcBorders>
            <w:shd w:val="clear"/>
            <w:vAlign w:val="center"/>
          </w:tcPr>
          <w:p w14:paraId="4FDFA53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200</w:t>
            </w:r>
          </w:p>
        </w:tc>
      </w:tr>
    </w:tbl>
    <w:p w14:paraId="2584E7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（5）接地及避雷装置</w:t>
      </w:r>
    </w:p>
    <w:p w14:paraId="4886AF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凡可能漏电伤人或易受雷击的电器及建筑物均应设置接地或避雷装置。承包人应负责避雷装置的采购、安装、管理和维修，并建立定期检查制度。</w:t>
      </w:r>
    </w:p>
    <w:p w14:paraId="23E43A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 有害气体的控制</w:t>
      </w:r>
    </w:p>
    <w:p w14:paraId="4120D8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在地下工程施工中，承包人应配备对有害气体的监测和报警装置以及工人使用的防护面具。一旦发现有毒气体，承包人应立即停止施工和疏散人员，并及时报告监理人。承包人应在经过慎重处理，确认不存在危险，并取得监理人同意后，方可复工。</w:t>
      </w:r>
    </w:p>
    <w:p w14:paraId="4EEAF7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（7）炸药、雷管和油料的存放和运输（若有）</w:t>
      </w:r>
    </w:p>
    <w:p w14:paraId="05C0CB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1）承包人使用的火工材料，其存放和运输应严格遵守国家及该工程的有关规定。</w:t>
      </w:r>
    </w:p>
    <w:p w14:paraId="7238F7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2）承包人在工地自建油库的布置、修建和运行应严格遵守国家及该工程的有关规定。</w:t>
      </w:r>
    </w:p>
    <w:p w14:paraId="4F3443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 爆破（若有）</w:t>
      </w:r>
    </w:p>
    <w:p w14:paraId="525112C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1）承包人应按批准的爆破作业安全措施文件的规定进行爆破作业，并应严格遵照国家有关爆破的管理规定。</w:t>
      </w:r>
    </w:p>
    <w:p w14:paraId="268B14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2）对实施电引爆的作业区，承包人应采用必要的特殊安全装置，以防止暴风雨时的大气或邻近电气设备放电的影响。特殊安全装置应经过试验证明其确保安全可靠时方可使用，试验报告应经监理人审批。</w:t>
      </w:r>
    </w:p>
    <w:p w14:paraId="7B0B61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（9）消防</w:t>
      </w:r>
    </w:p>
    <w:p w14:paraId="622D16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承包人应负责做好其自己辖区内的消防工作，配备一定数量的常规消防器材，并对职工加强消防意识教育，进行消防安全训练。承包人还应对其辖区内发生的火灾及其造成的人员伤亡和财产损失负责。</w:t>
      </w:r>
    </w:p>
    <w:p w14:paraId="7FEF5A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（10） 洪水和地质灾害、气象灾害的防护</w:t>
      </w:r>
    </w:p>
    <w:p w14:paraId="1F2F36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根据发包人提供的水情和有关部门提供的气象预报，做好洪水和气象灾害的防护工作。一旦发现有可能危及工程和人身财产安全的洪水和气象灾害的预兆时，承包人应立即采取有效的防洪和防灾措施，以确保工程和人员、财产的安全。</w:t>
      </w:r>
    </w:p>
    <w:p w14:paraId="47A79DE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发包人或委托监理人在每年汛期组织承包人和有关单位进行防汛检查，并负责统一指挥全工地的防汛和抗灾工作。承包人具体负责其管辖范围内的防汛和抗灾等工作，按发包人的要求和监理人的指示，做好每年的汛前检查，配置必要的防汛物资和器材，按合同规定做好汛情预报和安全度汛工作。</w:t>
      </w:r>
    </w:p>
    <w:p w14:paraId="327D458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（11）信号</w:t>
      </w:r>
    </w:p>
    <w:p w14:paraId="73435F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承包人应在施工区内设置一切必需的信号装置，包括：（1）标准道路信号；（2）报警信号；（3）危险信号；（4）控制信号；（5）安全信号；（6）指示信号。</w:t>
      </w:r>
    </w:p>
    <w:p w14:paraId="169D3E0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承包人应负责维修和保护施工区内自设或发包人设置的所有信号装置，并按监理人的指示；经常补充或更换失效的信号装置。</w:t>
      </w:r>
    </w:p>
    <w:p w14:paraId="324D78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（12） 安全防护手册</w:t>
      </w:r>
    </w:p>
    <w:p w14:paraId="296212F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编制适合本工程需要的安全防护手册，其内容应遵守国家颁布的各种安全规程。承包人应在收到开工通知后28天内将手册的复制清样提交监理人。安全防护手册除发给承包人全体职工外，还应发给发包人、监理人，安全防护手册的基本内容应包括（但不限于）：</w:t>
      </w:r>
    </w:p>
    <w:p w14:paraId="4E2DCE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1）防护衣、安全帽（黄色）、防护鞋袜及防护用品的使用；</w:t>
      </w:r>
    </w:p>
    <w:p w14:paraId="04079D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2）各种施工机械的使用；</w:t>
      </w:r>
    </w:p>
    <w:p w14:paraId="324F83B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3）炸药的储存、运输和使用；</w:t>
      </w:r>
    </w:p>
    <w:p w14:paraId="64BFD6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4）汽车驾驶安全；</w:t>
      </w:r>
    </w:p>
    <w:p w14:paraId="507A2FB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5）用电安全；</w:t>
      </w:r>
    </w:p>
    <w:p w14:paraId="1C93D1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6）地下开挖作业的安全；</w:t>
      </w:r>
    </w:p>
    <w:p w14:paraId="5DEBC7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7）高边坡开挖作业的安全；</w:t>
      </w:r>
    </w:p>
    <w:p w14:paraId="3073C8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8）灌浆作业的安全；</w:t>
      </w:r>
    </w:p>
    <w:p w14:paraId="72AEE2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9）模板、脚手架作业的安全；</w:t>
      </w:r>
    </w:p>
    <w:p w14:paraId="2D8EC3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10）混凝土浇筑作业的安全；</w:t>
      </w:r>
    </w:p>
    <w:p w14:paraId="77F4F6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11）机修作业的安全；</w:t>
      </w:r>
    </w:p>
    <w:p w14:paraId="447C6A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12）压缩空气作业的安全；</w:t>
      </w:r>
    </w:p>
    <w:p w14:paraId="72133F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13）高空作业的安全；</w:t>
      </w:r>
    </w:p>
    <w:p w14:paraId="682EF7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14）焊接作业的安全和防护；</w:t>
      </w:r>
    </w:p>
    <w:p w14:paraId="3D285E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15）意外事故和火灾的救护程序；</w:t>
      </w:r>
    </w:p>
    <w:p w14:paraId="08ED96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16）防洪和防气象灾害措施；</w:t>
      </w:r>
    </w:p>
    <w:p w14:paraId="508C936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17）信号和告警知识；</w:t>
      </w:r>
    </w:p>
    <w:p w14:paraId="07CB2B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18）其他有关规定。</w:t>
      </w:r>
    </w:p>
    <w:p w14:paraId="18AA4D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1.9 环境保护和水土保持</w:t>
      </w:r>
    </w:p>
    <w:p w14:paraId="7BBF9E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1.9.1说明</w:t>
      </w:r>
    </w:p>
    <w:p w14:paraId="6244D5B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（1）范围</w:t>
      </w:r>
    </w:p>
    <w:p w14:paraId="2DAD6F2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章规定适用于与本合同有关的施工期间生产生活区的环境保护与水土保持的有关作业，主要工作范围包括（但不限于）：（1）临时砂石料加工系统/临时混凝土拌合系统废水处理；（2）施工废水处理；（3）与本标有关生活营地区（除发包人提供的生活营地）的生活污水处理；（4）本标范围内的大气环境保护；（5）本标范围内的声环境保护；（6）本标施工区及生活区的固体废弃物处理；（7）本标生态环境保护；（8）本标施工区施工期人群健康保护；（9）本标所使用的施工场地区的水土保持；（10）施工结束后的场地清理；（11）机修及汽修废水、废油处理；（12）本标范围内的珍稀动植物保护/文物古迹保护。</w:t>
      </w:r>
    </w:p>
    <w:p w14:paraId="0A96F3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（2）承包人责任</w:t>
      </w:r>
    </w:p>
    <w:p w14:paraId="44EFEC7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承包人必须遵守国家和地方有关环境保护和水土保持方面的法律法规和规章，按照有关环境保护、水土保持的通用合同条款、技术规范要求、本工程环境影响报告书和水土保持方案报告书及两报告批复意见的相应要求，做好施工区及生活营地区的环境保护与水土保持工作，接受国家和地方环境保护与水行政主管部门的监督检查，接受工程监理和环保水保（环境）监理的监督管理。</w:t>
      </w:r>
    </w:p>
    <w:p w14:paraId="032145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2）施工承包人须与发包人现场管理机构签订《环境保护与水土保持工作协议书》，严格履行协议书所规定的责任和义务，同时须遵守发包人颁发的各项环保水保管理制度。</w:t>
      </w:r>
    </w:p>
    <w:p w14:paraId="4D7443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3）承包人应在工程签约28天内编制其承担的工程施工合同的环保水保措施文件报送监理人审批，其内容应包括机构的设置、专职人员的配备、制定的制度以及本标范围内的主要环保措施分析和实施计划。</w:t>
      </w:r>
    </w:p>
    <w:p w14:paraId="524CF17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承包人违反国家和地方有关环境保护与水土保持方面的法律法规、规章及本合同规定，造成环境污染（生态破坏）、水土流失、人员伤害和财产损失的，由承包人承担责任并负责赔偿；引起的行政处罚由承包人承担，发包人同时给予违约处罚。</w:t>
      </w:r>
    </w:p>
    <w:p w14:paraId="71EB9D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由于承包人的过失、疏忽，或者未及时按图纸规定和监理人指示做好环境保护与水土保持工程措施，导致需要另外采取措施时，这部分额外所增加的工作费用由承包人负担，因此引起工期的延误由承办人负责。</w:t>
      </w:r>
    </w:p>
    <w:p w14:paraId="347BDC7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6）承包人应接受发包人指定单位进行本标范围内的环境监测和水土保持监测，并对监测所反映的问题进行整改，直至满足相关要求。</w:t>
      </w:r>
    </w:p>
    <w:p w14:paraId="1AB6C8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本合同工程完工后，承包人应按照合同规定，对永久设施的挡墙、护坡、排水洞进行修补、疏通，及时拆除临建设施，完善相应的挡护、排水设施，进行恢复，并提交承包人《工程施工总结报告》《工程环境保护、水土保持工作总结报告》后方能退场。</w:t>
      </w:r>
    </w:p>
    <w:p w14:paraId="2319249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8）对于在施工中发生的环境保护和水土保持问题的争议，按《专用合同条款》“争议的解决”执行。</w:t>
      </w:r>
    </w:p>
    <w:p w14:paraId="3DEBA5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 主要提交文件</w:t>
      </w:r>
    </w:p>
    <w:p w14:paraId="4805E5F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1）环境保护及水土保持措施</w:t>
      </w:r>
    </w:p>
    <w:p w14:paraId="3AA36B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在编报施工总布置设计文件的同时，编制本标在施工期间与本标有关的生产、生活区的环境保护和水土保持措施计划，报送监理人审批。其内容应包括（但不限于）：自建临时营地的生活供水和生活污水处理；施工生产废水（混凝土拌和系统废水、机修含油废水等）处理；施工区粉尘、废气的削减；施工区噪声控制；固体废弃物处理；人群健康保护；自建施工临时营地区的场地周边截、排水措施；本合同场内施工道路的水土保持；完工后的场地清理规划和恢复措施；本标范围内渣场、开挖边坡、施工生产区、临时用地、施工道路的水土保持措施。</w:t>
      </w:r>
    </w:p>
    <w:p w14:paraId="5B153D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2）完工验收资料</w:t>
      </w:r>
    </w:p>
    <w:p w14:paraId="7EEBCA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环境保护措施质量检查及验收报告；水土保持措施质量检查及验收报告；环境保护、水土保持工作总结报告；监理人要求提供的其他资料。</w:t>
      </w:r>
    </w:p>
    <w:p w14:paraId="364C81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1.9.2 环境保护</w:t>
      </w:r>
    </w:p>
    <w:p w14:paraId="55F757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（1）生活供水及生活污水处理</w:t>
      </w:r>
    </w:p>
    <w:p w14:paraId="63AE3A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1）生活供水要求</w:t>
      </w:r>
    </w:p>
    <w:p w14:paraId="56AB58F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承包人生活地区的生活用水由承包人自行解决，其饮用水水质应符合《生活饮用水卫生规范》卫法监发〔2001〕161号要求。</w:t>
      </w:r>
    </w:p>
    <w:p w14:paraId="252E5C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承包营地生活用水水质检测等工作由承包人自行负责。</w:t>
      </w:r>
    </w:p>
    <w:p w14:paraId="6A06BA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2）生活污水处理</w:t>
      </w:r>
    </w:p>
    <w:p w14:paraId="77091C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需在生产区、临时生活区设置足够数量的环保厕所，负责建设、运行和维护本合同承包人自建临时营地的生活污水收集及处理系统，并将污水处理后回用，不得将生活污水直接排入天然水体，达到生活污水“零排放”标准。污水经处理后的限值见下表：</w:t>
      </w:r>
    </w:p>
    <w:p w14:paraId="6414194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表1.9.2-1 最低照明度的规定数值</w:t>
      </w:r>
    </w:p>
    <w:tbl>
      <w:tblPr>
        <w:tblW w:w="0" w:type="auto"/>
        <w:jc w:val="center"/>
        <w:tblCellSpacing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tblLayout w:type="autofit"/>
        <w:tblCellMar>
          <w:top w:w="0" w:type="dxa"/>
          <w:left w:w="108" w:type="dxa"/>
          <w:bottom w:w="0" w:type="dxa"/>
          <w:right w:w="108" w:type="dxa"/>
        </w:tblCellMar>
      </w:tblPr>
      <w:tblGrid>
        <w:gridCol w:w="1705"/>
        <w:gridCol w:w="1705"/>
        <w:gridCol w:w="1704"/>
        <w:gridCol w:w="1704"/>
        <w:gridCol w:w="1704"/>
      </w:tblGrid>
      <w:tr w14:paraId="1E1D255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blCellSpacing w:w="0" w:type="dxa"/>
          <w:jc w:val="center"/>
        </w:trPr>
        <w:tc>
          <w:tcPr>
            <w:tcW w:w="1705" w:type="dxa"/>
            <w:tcBorders>
              <w:top w:val="single" w:color="000000" w:sz="12" w:space="0"/>
              <w:left w:val="nil"/>
              <w:bottom w:val="single" w:color="000000" w:sz="6" w:space="0"/>
              <w:right w:val="single" w:color="000000" w:sz="6" w:space="0"/>
            </w:tcBorders>
            <w:shd w:val="clear"/>
            <w:vAlign w:val="center"/>
          </w:tcPr>
          <w:p w14:paraId="7644D2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污染物名称</w:t>
            </w:r>
          </w:p>
        </w:tc>
        <w:tc>
          <w:tcPr>
            <w:tcW w:w="1705" w:type="dxa"/>
            <w:tcBorders>
              <w:top w:val="single" w:color="000000" w:sz="12" w:space="0"/>
              <w:left w:val="single" w:color="000000" w:sz="6" w:space="0"/>
              <w:bottom w:val="single" w:color="000000" w:sz="6" w:space="0"/>
              <w:right w:val="single" w:color="000000" w:sz="6" w:space="0"/>
            </w:tcBorders>
            <w:shd w:val="clear"/>
            <w:vAlign w:val="center"/>
          </w:tcPr>
          <w:p w14:paraId="5032150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PH</w:t>
            </w:r>
          </w:p>
        </w:tc>
        <w:tc>
          <w:tcPr>
            <w:tcW w:w="1704" w:type="dxa"/>
            <w:tcBorders>
              <w:top w:val="single" w:color="000000" w:sz="12" w:space="0"/>
              <w:left w:val="single" w:color="000000" w:sz="6" w:space="0"/>
              <w:bottom w:val="single" w:color="000000" w:sz="6" w:space="0"/>
              <w:right w:val="single" w:color="000000" w:sz="6" w:space="0"/>
            </w:tcBorders>
            <w:shd w:val="clear"/>
            <w:vAlign w:val="center"/>
          </w:tcPr>
          <w:p w14:paraId="10473D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CODcr</w:t>
            </w:r>
          </w:p>
        </w:tc>
        <w:tc>
          <w:tcPr>
            <w:tcW w:w="1704" w:type="dxa"/>
            <w:tcBorders>
              <w:top w:val="single" w:color="000000" w:sz="12" w:space="0"/>
              <w:left w:val="single" w:color="000000" w:sz="6" w:space="0"/>
              <w:bottom w:val="single" w:color="000000" w:sz="6" w:space="0"/>
              <w:right w:val="single" w:color="000000" w:sz="6" w:space="0"/>
            </w:tcBorders>
            <w:shd w:val="clear"/>
            <w:vAlign w:val="center"/>
          </w:tcPr>
          <w:p w14:paraId="5B99D1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BOD5</w:t>
            </w:r>
          </w:p>
        </w:tc>
        <w:tc>
          <w:tcPr>
            <w:tcW w:w="1704" w:type="dxa"/>
            <w:tcBorders>
              <w:top w:val="single" w:color="000000" w:sz="12" w:space="0"/>
              <w:left w:val="single" w:color="000000" w:sz="6" w:space="0"/>
              <w:bottom w:val="single" w:color="000000" w:sz="6" w:space="0"/>
              <w:right w:val="nil"/>
            </w:tcBorders>
            <w:shd w:val="clear"/>
            <w:vAlign w:val="center"/>
          </w:tcPr>
          <w:p w14:paraId="5EB1BB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SS</w:t>
            </w:r>
          </w:p>
        </w:tc>
      </w:tr>
      <w:tr w14:paraId="0B49A91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tblCellMar>
            <w:top w:w="0" w:type="dxa"/>
            <w:left w:w="108" w:type="dxa"/>
            <w:bottom w:w="0" w:type="dxa"/>
            <w:right w:w="108" w:type="dxa"/>
          </w:tblCellMar>
        </w:tblPrEx>
        <w:trPr>
          <w:tblCellSpacing w:w="0" w:type="dxa"/>
          <w:jc w:val="center"/>
        </w:trPr>
        <w:tc>
          <w:tcPr>
            <w:tcW w:w="1705" w:type="dxa"/>
            <w:tcBorders>
              <w:top w:val="single" w:color="000000" w:sz="6" w:space="0"/>
              <w:left w:val="nil"/>
              <w:bottom w:val="single" w:color="000000" w:sz="12" w:space="0"/>
              <w:right w:val="single" w:color="000000" w:sz="6" w:space="0"/>
            </w:tcBorders>
            <w:shd w:val="clear"/>
            <w:vAlign w:val="center"/>
          </w:tcPr>
          <w:p w14:paraId="5098A7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浓度限值</w:t>
            </w:r>
          </w:p>
        </w:tc>
        <w:tc>
          <w:tcPr>
            <w:tcW w:w="1705" w:type="dxa"/>
            <w:tcBorders>
              <w:top w:val="single" w:color="000000" w:sz="6" w:space="0"/>
              <w:left w:val="single" w:color="000000" w:sz="6" w:space="0"/>
              <w:bottom w:val="single" w:color="000000" w:sz="12" w:space="0"/>
              <w:right w:val="single" w:color="000000" w:sz="6" w:space="0"/>
            </w:tcBorders>
            <w:shd w:val="clear"/>
            <w:vAlign w:val="center"/>
          </w:tcPr>
          <w:p w14:paraId="2EF6F46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6—9</w:t>
            </w:r>
          </w:p>
        </w:tc>
        <w:tc>
          <w:tcPr>
            <w:tcW w:w="1704" w:type="dxa"/>
            <w:tcBorders>
              <w:top w:val="single" w:color="000000" w:sz="6" w:space="0"/>
              <w:left w:val="single" w:color="000000" w:sz="6" w:space="0"/>
              <w:bottom w:val="single" w:color="000000" w:sz="12" w:space="0"/>
              <w:right w:val="single" w:color="000000" w:sz="6" w:space="0"/>
            </w:tcBorders>
            <w:shd w:val="clear"/>
            <w:vAlign w:val="center"/>
          </w:tcPr>
          <w:p w14:paraId="0CBC7B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≤—9值r的规</w:t>
            </w:r>
          </w:p>
        </w:tc>
        <w:tc>
          <w:tcPr>
            <w:tcW w:w="1704" w:type="dxa"/>
            <w:tcBorders>
              <w:top w:val="single" w:color="000000" w:sz="6" w:space="0"/>
              <w:left w:val="single" w:color="000000" w:sz="6" w:space="0"/>
              <w:bottom w:val="single" w:color="000000" w:sz="12" w:space="0"/>
              <w:right w:val="single" w:color="000000" w:sz="6" w:space="0"/>
            </w:tcBorders>
            <w:shd w:val="clear"/>
            <w:vAlign w:val="center"/>
          </w:tcPr>
          <w:p w14:paraId="21A09A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≤—9值r的规</w:t>
            </w:r>
          </w:p>
        </w:tc>
        <w:tc>
          <w:tcPr>
            <w:tcW w:w="1704" w:type="dxa"/>
            <w:tcBorders>
              <w:top w:val="single" w:color="000000" w:sz="6" w:space="0"/>
              <w:left w:val="single" w:color="000000" w:sz="6" w:space="0"/>
              <w:bottom w:val="single" w:color="000000" w:sz="12" w:space="0"/>
              <w:right w:val="nil"/>
            </w:tcBorders>
            <w:shd w:val="clear"/>
            <w:vAlign w:val="center"/>
          </w:tcPr>
          <w:p w14:paraId="1EBD5B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≤—9值r的规</w:t>
            </w:r>
          </w:p>
        </w:tc>
      </w:tr>
    </w:tbl>
    <w:p w14:paraId="52C93F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（2）生产废水处理</w:t>
      </w:r>
    </w:p>
    <w:p w14:paraId="41D0E67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1）说明</w:t>
      </w:r>
    </w:p>
    <w:p w14:paraId="3860A7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承包人有责任在本标范围内建造和维护排水系统。</w:t>
      </w:r>
    </w:p>
    <w:p w14:paraId="168666C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工程开工前14天，承包人应将废水处理系统的设备类型、制定的施工计划以及维护系统运行的措施提交发包人和监理人审查。</w:t>
      </w:r>
    </w:p>
    <w:p w14:paraId="7C31547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承包人应密切配合发包人、监理人和行政主管部门对其污水处理设备、防污措施及拟采用的施工方法等进行检查和检测。</w:t>
      </w:r>
    </w:p>
    <w:p w14:paraId="4BAD83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承包人应防止各种废水、污泥等流到邻近的土地或水体，由此引起的纠纷及各种损失和费用均由承包人承担。</w:t>
      </w:r>
    </w:p>
    <w:p w14:paraId="211BD7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2）混凝土拌和系统/砂石料加工系统废水处理</w:t>
      </w:r>
    </w:p>
    <w:p w14:paraId="740ECA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由承包人负责建设混凝土系统的废水收集、废水处理、废水回用系统，并维护系统的正常运行。所有废水应处理后达标排放。</w:t>
      </w:r>
    </w:p>
    <w:p w14:paraId="031EF4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实行雨污分流，完善废水处理系统的污水收集管网，将本标混凝土系统内经常性排放废水收集后统一处理。</w:t>
      </w:r>
    </w:p>
    <w:p w14:paraId="405BDB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各废水处理系统的布置根据承包人设计的混凝土系统布局合理布设，废水处理系统由承包人负责设计、施工、运行维护及完工后拆除。</w:t>
      </w:r>
    </w:p>
    <w:p w14:paraId="157D80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废水处理系统污泥需进行必要的脱水处理后运至弃渣场堆存。一旦发现污泥处理不当，承包人必须采用发包人认为必要的额外措施，将进入河道及排水系统的污泥予以清除。</w:t>
      </w:r>
    </w:p>
    <w:p w14:paraId="17F4DA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3）机修及汽修系统废水处理</w:t>
      </w:r>
    </w:p>
    <w:p w14:paraId="56321FB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由承包人根据本标机修及汽修系统的规模自建机修及汽修系统废水收集、处理及回用系统。</w:t>
      </w:r>
    </w:p>
    <w:p w14:paraId="072A4B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实施雨污分流，完善废水收集管道，对含油较高的机修废水选用隔油池进行油水分离排放。</w:t>
      </w:r>
    </w:p>
    <w:p w14:paraId="0E6AB9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系统污泥不得任意堆存，应脱水处理后运至弃渣场处理。一旦发现污泥处理不当，承包人必须采用发包人认为必要的额外措施，对进入河道及排水系统的污泥予以清除。</w:t>
      </w:r>
    </w:p>
    <w:p w14:paraId="25997C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废水经处理后回用，其主要污染物应达到生活杂用水水质标准限值见下表：</w:t>
      </w:r>
    </w:p>
    <w:p w14:paraId="6AE25D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表1.9.2-2 生产污水处理后的限值标准</w:t>
      </w:r>
    </w:p>
    <w:tbl>
      <w:tblPr>
        <w:tblW w:w="0" w:type="auto"/>
        <w:jc w:val="center"/>
        <w:tblCellSpacing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tblLayout w:type="autofit"/>
        <w:tblCellMar>
          <w:top w:w="0" w:type="dxa"/>
          <w:left w:w="108" w:type="dxa"/>
          <w:bottom w:w="0" w:type="dxa"/>
          <w:right w:w="108" w:type="dxa"/>
        </w:tblCellMar>
      </w:tblPr>
      <w:tblGrid>
        <w:gridCol w:w="1604"/>
        <w:gridCol w:w="2306"/>
        <w:gridCol w:w="2306"/>
        <w:gridCol w:w="2306"/>
      </w:tblGrid>
      <w:tr w14:paraId="124896C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blCellSpacing w:w="0" w:type="dxa"/>
          <w:jc w:val="center"/>
        </w:trPr>
        <w:tc>
          <w:tcPr>
            <w:tcW w:w="1604" w:type="dxa"/>
            <w:tcBorders>
              <w:top w:val="single" w:color="000000" w:sz="12" w:space="0"/>
              <w:left w:val="nil"/>
              <w:bottom w:val="single" w:color="000000" w:sz="6" w:space="0"/>
              <w:right w:val="single" w:color="000000" w:sz="6" w:space="0"/>
            </w:tcBorders>
            <w:shd w:val="clear"/>
            <w:vAlign w:val="center"/>
          </w:tcPr>
          <w:p w14:paraId="72D528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污染物名称</w:t>
            </w:r>
          </w:p>
        </w:tc>
        <w:tc>
          <w:tcPr>
            <w:tcW w:w="2306" w:type="dxa"/>
            <w:tcBorders>
              <w:top w:val="single" w:color="000000" w:sz="12" w:space="0"/>
              <w:left w:val="single" w:color="000000" w:sz="6" w:space="0"/>
              <w:bottom w:val="single" w:color="000000" w:sz="6" w:space="0"/>
              <w:right w:val="single" w:color="000000" w:sz="6" w:space="0"/>
            </w:tcBorders>
            <w:shd w:val="clear"/>
            <w:vAlign w:val="center"/>
          </w:tcPr>
          <w:p w14:paraId="48CA51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PH</w:t>
            </w:r>
          </w:p>
        </w:tc>
        <w:tc>
          <w:tcPr>
            <w:tcW w:w="2306" w:type="dxa"/>
            <w:tcBorders>
              <w:top w:val="single" w:color="000000" w:sz="12" w:space="0"/>
              <w:left w:val="single" w:color="000000" w:sz="6" w:space="0"/>
              <w:bottom w:val="single" w:color="000000" w:sz="6" w:space="0"/>
              <w:right w:val="single" w:color="000000" w:sz="6" w:space="0"/>
            </w:tcBorders>
            <w:shd w:val="clear"/>
            <w:vAlign w:val="center"/>
          </w:tcPr>
          <w:p w14:paraId="4927C6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SS</w:t>
            </w:r>
          </w:p>
        </w:tc>
        <w:tc>
          <w:tcPr>
            <w:tcW w:w="2306" w:type="dxa"/>
            <w:tcBorders>
              <w:top w:val="single" w:color="000000" w:sz="12" w:space="0"/>
              <w:left w:val="single" w:color="000000" w:sz="6" w:space="0"/>
              <w:bottom w:val="single" w:color="000000" w:sz="6" w:space="0"/>
              <w:right w:val="nil"/>
            </w:tcBorders>
            <w:shd w:val="clear"/>
            <w:vAlign w:val="center"/>
          </w:tcPr>
          <w:p w14:paraId="015ECF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石油类</w:t>
            </w:r>
          </w:p>
        </w:tc>
      </w:tr>
      <w:tr w14:paraId="26194F7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blCellSpacing w:w="0" w:type="dxa"/>
          <w:jc w:val="center"/>
        </w:trPr>
        <w:tc>
          <w:tcPr>
            <w:tcW w:w="1604" w:type="dxa"/>
            <w:tcBorders>
              <w:top w:val="single" w:color="000000" w:sz="6" w:space="0"/>
              <w:left w:val="nil"/>
              <w:bottom w:val="single" w:color="000000" w:sz="12" w:space="0"/>
              <w:right w:val="single" w:color="000000" w:sz="6" w:space="0"/>
            </w:tcBorders>
            <w:shd w:val="clear"/>
            <w:vAlign w:val="center"/>
          </w:tcPr>
          <w:p w14:paraId="6A9B41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浓度限值</w:t>
            </w:r>
          </w:p>
        </w:tc>
        <w:tc>
          <w:tcPr>
            <w:tcW w:w="2306" w:type="dxa"/>
            <w:tcBorders>
              <w:top w:val="single" w:color="000000" w:sz="6" w:space="0"/>
              <w:left w:val="single" w:color="000000" w:sz="6" w:space="0"/>
              <w:bottom w:val="single" w:color="000000" w:sz="12" w:space="0"/>
              <w:right w:val="single" w:color="000000" w:sz="6" w:space="0"/>
            </w:tcBorders>
            <w:shd w:val="clear"/>
            <w:vAlign w:val="center"/>
          </w:tcPr>
          <w:p w14:paraId="2518C5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6—9</w:t>
            </w:r>
          </w:p>
        </w:tc>
        <w:tc>
          <w:tcPr>
            <w:tcW w:w="2306" w:type="dxa"/>
            <w:tcBorders>
              <w:top w:val="single" w:color="000000" w:sz="6" w:space="0"/>
              <w:left w:val="single" w:color="000000" w:sz="6" w:space="0"/>
              <w:bottom w:val="single" w:color="000000" w:sz="12" w:space="0"/>
              <w:right w:val="single" w:color="000000" w:sz="6" w:space="0"/>
            </w:tcBorders>
            <w:shd w:val="clear"/>
            <w:vAlign w:val="center"/>
          </w:tcPr>
          <w:p w14:paraId="13BC65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≤—9值称理后</w:t>
            </w:r>
          </w:p>
        </w:tc>
        <w:tc>
          <w:tcPr>
            <w:tcW w:w="2306" w:type="dxa"/>
            <w:tcBorders>
              <w:top w:val="single" w:color="000000" w:sz="6" w:space="0"/>
              <w:left w:val="single" w:color="000000" w:sz="6" w:space="0"/>
              <w:bottom w:val="single" w:color="000000" w:sz="12" w:space="0"/>
              <w:right w:val="nil"/>
            </w:tcBorders>
            <w:shd w:val="clear"/>
            <w:vAlign w:val="center"/>
          </w:tcPr>
          <w:p w14:paraId="4709BF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≤—9值称理</w:t>
            </w:r>
          </w:p>
        </w:tc>
      </w:tr>
    </w:tbl>
    <w:p w14:paraId="35A0B9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（3）空气污染控制</w:t>
      </w:r>
    </w:p>
    <w:p w14:paraId="1436C8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施工区粉尘的削减</w:t>
      </w:r>
    </w:p>
    <w:p w14:paraId="23BCC2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1）工程开工前14天，承包人应根据施工设备类型制定除尘实施细则提交发包人和监理人审查、批准。</w:t>
      </w:r>
    </w:p>
    <w:p w14:paraId="7993ABC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2）承包人应密切配合发包人和监理人对其施工设备、除尘装置和拟采用的施工方法等进行检查和审核。</w:t>
      </w:r>
    </w:p>
    <w:p w14:paraId="14F8A8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承包人在制定施工计划、施工方法、除尘措施以及进行施工时，委派环保专职人员监督实施。施工期间，承包人应遵守中华人民共和国国家标准《环境空气质量标准》（GB3095－1996）的二级标准（见下表），保证在施工场界附近的总悬浮颗粒物（TSP）的浓度值控制在其标准值内。</w:t>
      </w:r>
    </w:p>
    <w:p w14:paraId="79789C7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表1.9.2-3 环境空气总悬浮颗粒物（TSP）的浓度限值</w:t>
      </w:r>
    </w:p>
    <w:tbl>
      <w:tblPr>
        <w:tblW w:w="0" w:type="auto"/>
        <w:jc w:val="center"/>
        <w:tblCellSpacing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tblLayout w:type="autofit"/>
        <w:tblCellMar>
          <w:top w:w="0" w:type="dxa"/>
          <w:left w:w="108" w:type="dxa"/>
          <w:bottom w:w="0" w:type="dxa"/>
          <w:right w:w="108" w:type="dxa"/>
        </w:tblCellMar>
      </w:tblPr>
      <w:tblGrid>
        <w:gridCol w:w="2388"/>
        <w:gridCol w:w="3293"/>
        <w:gridCol w:w="2841"/>
      </w:tblGrid>
      <w:tr w14:paraId="47BBDEE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blCellSpacing w:w="0" w:type="dxa"/>
          <w:jc w:val="center"/>
        </w:trPr>
        <w:tc>
          <w:tcPr>
            <w:tcW w:w="2388" w:type="dxa"/>
            <w:tcBorders>
              <w:top w:val="single" w:color="000000" w:sz="12" w:space="0"/>
              <w:left w:val="nil"/>
              <w:bottom w:val="single" w:color="000000" w:sz="6" w:space="0"/>
              <w:right w:val="single" w:color="000000" w:sz="6" w:space="0"/>
            </w:tcBorders>
            <w:shd w:val="clear"/>
            <w:vAlign w:val="center"/>
          </w:tcPr>
          <w:p w14:paraId="7120FE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污染物名称</w:t>
            </w:r>
          </w:p>
        </w:tc>
        <w:tc>
          <w:tcPr>
            <w:tcW w:w="3293" w:type="dxa"/>
            <w:tcBorders>
              <w:top w:val="single" w:color="000000" w:sz="12" w:space="0"/>
              <w:left w:val="single" w:color="000000" w:sz="6" w:space="0"/>
              <w:bottom w:val="single" w:color="000000" w:sz="6" w:space="0"/>
              <w:right w:val="single" w:color="000000" w:sz="6" w:space="0"/>
            </w:tcBorders>
            <w:shd w:val="clear"/>
            <w:vAlign w:val="center"/>
          </w:tcPr>
          <w:p w14:paraId="7CCA9F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《大气污染综合排放标准》（GB16297-1996）二级</w:t>
            </w:r>
          </w:p>
        </w:tc>
        <w:tc>
          <w:tcPr>
            <w:tcW w:w="2841" w:type="dxa"/>
            <w:tcBorders>
              <w:top w:val="single" w:color="000000" w:sz="12" w:space="0"/>
              <w:left w:val="single" w:color="000000" w:sz="6" w:space="0"/>
              <w:bottom w:val="single" w:color="000000" w:sz="6" w:space="0"/>
              <w:right w:val="nil"/>
            </w:tcBorders>
            <w:shd w:val="clear"/>
            <w:vAlign w:val="center"/>
          </w:tcPr>
          <w:p w14:paraId="0C04917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《环境空气质量标准》（GB3095-1996）的二级</w:t>
            </w:r>
          </w:p>
        </w:tc>
      </w:tr>
      <w:tr w14:paraId="126100A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tblCellMar>
            <w:top w:w="0" w:type="dxa"/>
            <w:left w:w="108" w:type="dxa"/>
            <w:bottom w:w="0" w:type="dxa"/>
            <w:right w:w="108" w:type="dxa"/>
          </w:tblCellMar>
        </w:tblPrEx>
        <w:trPr>
          <w:tblCellSpacing w:w="0" w:type="dxa"/>
          <w:jc w:val="center"/>
        </w:trPr>
        <w:tc>
          <w:tcPr>
            <w:tcW w:w="2388" w:type="dxa"/>
            <w:tcBorders>
              <w:top w:val="single" w:color="000000" w:sz="6" w:space="0"/>
              <w:left w:val="nil"/>
              <w:bottom w:val="single" w:color="000000" w:sz="6" w:space="0"/>
              <w:right w:val="single" w:color="000000" w:sz="6" w:space="0"/>
            </w:tcBorders>
            <w:shd w:val="clear"/>
            <w:vAlign w:val="center"/>
          </w:tcPr>
          <w:p w14:paraId="2083F09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TSP（mg/m3）</w:t>
            </w:r>
          </w:p>
        </w:tc>
        <w:tc>
          <w:tcPr>
            <w:tcW w:w="3293" w:type="dxa"/>
            <w:tcBorders>
              <w:top w:val="single" w:color="000000" w:sz="6" w:space="0"/>
              <w:left w:val="single" w:color="000000" w:sz="6" w:space="0"/>
              <w:bottom w:val="single" w:color="000000" w:sz="6" w:space="0"/>
              <w:right w:val="single" w:color="000000" w:sz="6" w:space="0"/>
            </w:tcBorders>
            <w:shd w:val="clear"/>
            <w:vAlign w:val="center"/>
          </w:tcPr>
          <w:p w14:paraId="559BD1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0.3（日平均）</w:t>
            </w:r>
          </w:p>
        </w:tc>
        <w:tc>
          <w:tcPr>
            <w:tcW w:w="2841" w:type="dxa"/>
            <w:tcBorders>
              <w:top w:val="single" w:color="000000" w:sz="6" w:space="0"/>
              <w:left w:val="single" w:color="000000" w:sz="6" w:space="0"/>
              <w:bottom w:val="single" w:color="000000" w:sz="6" w:space="0"/>
              <w:right w:val="nil"/>
            </w:tcBorders>
            <w:shd w:val="clear"/>
            <w:vAlign w:val="center"/>
          </w:tcPr>
          <w:p w14:paraId="3B7624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1.0（日平均）</w:t>
            </w:r>
          </w:p>
        </w:tc>
      </w:tr>
      <w:tr w14:paraId="2D59070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blCellSpacing w:w="0" w:type="dxa"/>
          <w:jc w:val="center"/>
        </w:trPr>
        <w:tc>
          <w:tcPr>
            <w:tcW w:w="2388" w:type="dxa"/>
            <w:tcBorders>
              <w:top w:val="single" w:color="000000" w:sz="6" w:space="0"/>
              <w:left w:val="nil"/>
              <w:bottom w:val="single" w:color="000000" w:sz="6" w:space="0"/>
              <w:right w:val="single" w:color="000000" w:sz="6" w:space="0"/>
            </w:tcBorders>
            <w:shd w:val="clear"/>
            <w:vAlign w:val="center"/>
          </w:tcPr>
          <w:p w14:paraId="62EC27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氮氧化合物NOx（mg/m3）</w:t>
            </w:r>
          </w:p>
        </w:tc>
        <w:tc>
          <w:tcPr>
            <w:tcW w:w="3293" w:type="dxa"/>
            <w:tcBorders>
              <w:top w:val="single" w:color="000000" w:sz="6" w:space="0"/>
              <w:left w:val="single" w:color="000000" w:sz="6" w:space="0"/>
              <w:bottom w:val="single" w:color="000000" w:sz="6" w:space="0"/>
              <w:right w:val="single" w:color="000000" w:sz="6" w:space="0"/>
            </w:tcBorders>
            <w:shd w:val="clear"/>
            <w:vAlign w:val="center"/>
          </w:tcPr>
          <w:p w14:paraId="495068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0.12（NOx）</w:t>
            </w:r>
          </w:p>
        </w:tc>
        <w:tc>
          <w:tcPr>
            <w:tcW w:w="2841" w:type="dxa"/>
            <w:tcBorders>
              <w:top w:val="single" w:color="000000" w:sz="6" w:space="0"/>
              <w:left w:val="single" w:color="000000" w:sz="6" w:space="0"/>
              <w:bottom w:val="single" w:color="000000" w:sz="6" w:space="0"/>
              <w:right w:val="nil"/>
            </w:tcBorders>
            <w:shd w:val="clear"/>
            <w:vAlign w:val="center"/>
          </w:tcPr>
          <w:p w14:paraId="07C70D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0.12（日平均）（NO2）</w:t>
            </w:r>
          </w:p>
        </w:tc>
      </w:tr>
      <w:tr w14:paraId="3FD7797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blCellSpacing w:w="0" w:type="dxa"/>
          <w:jc w:val="center"/>
        </w:trPr>
        <w:tc>
          <w:tcPr>
            <w:tcW w:w="2388" w:type="dxa"/>
            <w:tcBorders>
              <w:top w:val="single" w:color="000000" w:sz="6" w:space="0"/>
              <w:left w:val="nil"/>
              <w:bottom w:val="single" w:color="000000" w:sz="12" w:space="0"/>
              <w:right w:val="single" w:color="000000" w:sz="6" w:space="0"/>
            </w:tcBorders>
            <w:shd w:val="clear"/>
            <w:vAlign w:val="center"/>
          </w:tcPr>
          <w:p w14:paraId="003F02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二氧化硫SO2（mg/m3）</w:t>
            </w:r>
          </w:p>
        </w:tc>
        <w:tc>
          <w:tcPr>
            <w:tcW w:w="3293" w:type="dxa"/>
            <w:tcBorders>
              <w:top w:val="single" w:color="000000" w:sz="6" w:space="0"/>
              <w:left w:val="single" w:color="000000" w:sz="6" w:space="0"/>
              <w:bottom w:val="single" w:color="000000" w:sz="12" w:space="0"/>
              <w:right w:val="single" w:color="000000" w:sz="6" w:space="0"/>
            </w:tcBorders>
            <w:shd w:val="clear"/>
            <w:vAlign w:val="center"/>
          </w:tcPr>
          <w:p w14:paraId="4D4B1B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0.40</w:t>
            </w:r>
          </w:p>
        </w:tc>
        <w:tc>
          <w:tcPr>
            <w:tcW w:w="2841" w:type="dxa"/>
            <w:tcBorders>
              <w:top w:val="single" w:color="000000" w:sz="6" w:space="0"/>
              <w:left w:val="single" w:color="000000" w:sz="6" w:space="0"/>
              <w:bottom w:val="single" w:color="000000" w:sz="12" w:space="0"/>
              <w:right w:val="nil"/>
            </w:tcBorders>
            <w:shd w:val="clear"/>
            <w:vAlign w:val="center"/>
          </w:tcPr>
          <w:p w14:paraId="242341D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0.15（日平均）</w:t>
            </w:r>
          </w:p>
        </w:tc>
      </w:tr>
    </w:tbl>
    <w:p w14:paraId="12AF2E4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承包人在制定施工计划、施工方法、除尘措施以及进行施工时，应充分考虑TSP对环境空气的污染，委派环保专职人员监督实施，保证施工场界和敏感受体附近的TSP浓度能达到上表所述的国家的控制标准，并确保下列措施的实施：</w:t>
      </w:r>
    </w:p>
    <w:p w14:paraId="7FC3C1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施工期间，除尘设备应与生产设备同时运行，并保持良好运行状态。</w:t>
      </w:r>
    </w:p>
    <w:p w14:paraId="6B58496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选用低尘工艺，钻孔要安装除尘装置。</w:t>
      </w:r>
    </w:p>
    <w:p w14:paraId="509E01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混凝土系统配置除尘装置，定期检查除尘装置的运行情况，及时更换和修理无法运行的除尘设备。</w:t>
      </w:r>
    </w:p>
    <w:p w14:paraId="760B5CC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承包人应尽量避免将易产尘物料储存或堆放在敏感受体附近。</w:t>
      </w:r>
    </w:p>
    <w:p w14:paraId="594C9D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在取得发包人许可前，承包人不得任意安装和使用对空气可能产生污染的锅炉、炉具等，以及产生烟尘或其他空气污染物的燃料，减少用煤量。承包人也不得在工地焚烧残留物或其他废料。</w:t>
      </w:r>
    </w:p>
    <w:p w14:paraId="40D21E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施工场地内应限制卡车、推土机车速以减少扬尘。</w:t>
      </w:r>
    </w:p>
    <w:p w14:paraId="60D6C3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承包人应经常清扫施工场地，保持场地的清洁，并充分地向多尘工地洒水，以避免施工场地及机动车在运行过程中产生扬尘。道路每天至少洒水四次，施工现场每天至少洒水两次。</w:t>
      </w:r>
    </w:p>
    <w:p w14:paraId="4F7F6DC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散装水泥、粉煤灰应由封闭系统从罐车卸载到水泥储存罐，所有出口应配有袋式过滤器。</w:t>
      </w:r>
    </w:p>
    <w:p w14:paraId="03A32F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用以运输可能产生粉尘物料的敞篷运输车，其车厢两侧及尾部均应配备挡板，可能产生粉尘物料的堆放高度不得高于挡板，并用干净的雨布加以遮盖。</w:t>
      </w:r>
    </w:p>
    <w:p w14:paraId="52A9F5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车辆运行路线和施工工地的布置应尽量远离敏感受体。</w:t>
      </w:r>
    </w:p>
    <w:p w14:paraId="2A8D6D1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交通废气与粉尘的消减：</w:t>
      </w:r>
    </w:p>
    <w:p w14:paraId="383263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A．施工期间，各施工作业点空气污染物排放应遵守《大气污染综合排放标准》（GB16297－1996）的二级排放标准（见下表），保证在施工场界附近的NO2、SO2、铅化物的浓度值控制在《环境空气质量标准》（GB3095－1996）的二级标准值（见下表）内。</w:t>
      </w:r>
    </w:p>
    <w:p w14:paraId="59305C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表1.9.2-4 空气污染物排放浓度限值</w:t>
      </w:r>
    </w:p>
    <w:tbl>
      <w:tblPr>
        <w:tblW w:w="0" w:type="auto"/>
        <w:jc w:val="center"/>
        <w:tblCellSpacing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autofit"/>
        <w:tblCellMar>
          <w:top w:w="0" w:type="dxa"/>
          <w:left w:w="108" w:type="dxa"/>
          <w:bottom w:w="0" w:type="dxa"/>
          <w:right w:w="108" w:type="dxa"/>
        </w:tblCellMar>
      </w:tblPr>
      <w:tblGrid>
        <w:gridCol w:w="2499"/>
        <w:gridCol w:w="3139"/>
        <w:gridCol w:w="2877"/>
      </w:tblGrid>
      <w:tr w14:paraId="56C159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rHeight w:val="229" w:hRule="atLeast"/>
          <w:tblCellSpacing w:w="0" w:type="dxa"/>
          <w:jc w:val="center"/>
        </w:trPr>
        <w:tc>
          <w:tcPr>
            <w:tcW w:w="2499" w:type="dxa"/>
            <w:tcBorders>
              <w:top w:val="single" w:color="000000" w:sz="12" w:space="0"/>
              <w:left w:val="single" w:color="000000" w:sz="12" w:space="0"/>
              <w:bottom w:val="single" w:color="000000" w:sz="6" w:space="0"/>
              <w:right w:val="single" w:color="000000" w:sz="6" w:space="0"/>
            </w:tcBorders>
            <w:shd w:val="clear"/>
            <w:vAlign w:val="center"/>
          </w:tcPr>
          <w:p w14:paraId="4A3158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污染物名称</w:t>
            </w:r>
          </w:p>
        </w:tc>
        <w:tc>
          <w:tcPr>
            <w:tcW w:w="3139" w:type="dxa"/>
            <w:tcBorders>
              <w:top w:val="single" w:color="000000" w:sz="12" w:space="0"/>
              <w:left w:val="single" w:color="000000" w:sz="6" w:space="0"/>
              <w:bottom w:val="single" w:color="000000" w:sz="6" w:space="0"/>
              <w:right w:val="single" w:color="000000" w:sz="6" w:space="0"/>
            </w:tcBorders>
            <w:shd w:val="clear"/>
            <w:vAlign w:val="center"/>
          </w:tcPr>
          <w:p w14:paraId="022C69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《大气污染综合排放标准》</w:t>
            </w:r>
          </w:p>
          <w:p w14:paraId="4747575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（GB16297－1996）二级</w:t>
            </w:r>
          </w:p>
        </w:tc>
        <w:tc>
          <w:tcPr>
            <w:tcW w:w="2877" w:type="dxa"/>
            <w:tcBorders>
              <w:top w:val="single" w:color="000000" w:sz="12" w:space="0"/>
              <w:left w:val="single" w:color="000000" w:sz="6" w:space="0"/>
              <w:bottom w:val="single" w:color="000000" w:sz="6" w:space="0"/>
              <w:right w:val="single" w:color="000000" w:sz="12" w:space="0"/>
            </w:tcBorders>
            <w:shd w:val="clear"/>
            <w:vAlign w:val="center"/>
          </w:tcPr>
          <w:p w14:paraId="08191FC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《环境空气质量标准》</w:t>
            </w:r>
          </w:p>
          <w:p w14:paraId="31B0E36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（GB3095－1996）的二级</w:t>
            </w:r>
          </w:p>
        </w:tc>
      </w:tr>
      <w:tr w14:paraId="003795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rHeight w:val="111" w:hRule="atLeast"/>
          <w:tblCellSpacing w:w="0" w:type="dxa"/>
          <w:jc w:val="center"/>
        </w:trPr>
        <w:tc>
          <w:tcPr>
            <w:tcW w:w="2499" w:type="dxa"/>
            <w:tcBorders>
              <w:top w:val="single" w:color="000000" w:sz="6" w:space="0"/>
              <w:left w:val="single" w:color="000000" w:sz="12" w:space="0"/>
              <w:bottom w:val="single" w:color="000000" w:sz="6" w:space="0"/>
              <w:right w:val="single" w:color="000000" w:sz="6" w:space="0"/>
            </w:tcBorders>
            <w:shd w:val="clear"/>
            <w:vAlign w:val="center"/>
          </w:tcPr>
          <w:p w14:paraId="1A2D46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二氧化氮NO2（mg/m3）</w:t>
            </w:r>
          </w:p>
        </w:tc>
        <w:tc>
          <w:tcPr>
            <w:tcW w:w="3139" w:type="dxa"/>
            <w:tcBorders>
              <w:top w:val="single" w:color="000000" w:sz="6" w:space="0"/>
              <w:left w:val="single" w:color="000000" w:sz="6" w:space="0"/>
              <w:bottom w:val="single" w:color="000000" w:sz="6" w:space="0"/>
              <w:right w:val="single" w:color="000000" w:sz="6" w:space="0"/>
            </w:tcBorders>
            <w:shd w:val="clear"/>
            <w:vAlign w:val="center"/>
          </w:tcPr>
          <w:p w14:paraId="337F6E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0.12</w:t>
            </w:r>
          </w:p>
        </w:tc>
        <w:tc>
          <w:tcPr>
            <w:tcW w:w="2877" w:type="dxa"/>
            <w:tcBorders>
              <w:top w:val="single" w:color="000000" w:sz="6" w:space="0"/>
              <w:left w:val="single" w:color="000000" w:sz="6" w:space="0"/>
              <w:bottom w:val="single" w:color="000000" w:sz="6" w:space="0"/>
              <w:right w:val="single" w:color="000000" w:sz="12" w:space="0"/>
            </w:tcBorders>
            <w:shd w:val="clear"/>
            <w:vAlign w:val="center"/>
          </w:tcPr>
          <w:p w14:paraId="0F8517C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0.08（日平均）</w:t>
            </w:r>
          </w:p>
        </w:tc>
      </w:tr>
      <w:tr w14:paraId="152C58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rHeight w:val="293" w:hRule="atLeast"/>
          <w:tblCellSpacing w:w="0" w:type="dxa"/>
          <w:jc w:val="center"/>
        </w:trPr>
        <w:tc>
          <w:tcPr>
            <w:tcW w:w="2499" w:type="dxa"/>
            <w:tcBorders>
              <w:top w:val="single" w:color="000000" w:sz="6" w:space="0"/>
              <w:left w:val="single" w:color="000000" w:sz="12" w:space="0"/>
              <w:bottom w:val="single" w:color="000000" w:sz="6" w:space="0"/>
              <w:right w:val="single" w:color="000000" w:sz="6" w:space="0"/>
            </w:tcBorders>
            <w:shd w:val="clear"/>
            <w:vAlign w:val="center"/>
          </w:tcPr>
          <w:p w14:paraId="48B26C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二氧化硫SO2（mg/m3）</w:t>
            </w:r>
          </w:p>
        </w:tc>
        <w:tc>
          <w:tcPr>
            <w:tcW w:w="3139" w:type="dxa"/>
            <w:tcBorders>
              <w:top w:val="single" w:color="000000" w:sz="6" w:space="0"/>
              <w:left w:val="single" w:color="000000" w:sz="6" w:space="0"/>
              <w:bottom w:val="single" w:color="000000" w:sz="6" w:space="0"/>
              <w:right w:val="single" w:color="000000" w:sz="6" w:space="0"/>
            </w:tcBorders>
            <w:shd w:val="clear"/>
            <w:vAlign w:val="center"/>
          </w:tcPr>
          <w:p w14:paraId="148A49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0.40</w:t>
            </w:r>
          </w:p>
        </w:tc>
        <w:tc>
          <w:tcPr>
            <w:tcW w:w="2877" w:type="dxa"/>
            <w:tcBorders>
              <w:top w:val="single" w:color="000000" w:sz="6" w:space="0"/>
              <w:left w:val="single" w:color="000000" w:sz="6" w:space="0"/>
              <w:bottom w:val="single" w:color="000000" w:sz="6" w:space="0"/>
              <w:right w:val="single" w:color="000000" w:sz="12" w:space="0"/>
            </w:tcBorders>
            <w:shd w:val="clear"/>
            <w:vAlign w:val="center"/>
          </w:tcPr>
          <w:p w14:paraId="77D7C7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0.15（日平均）</w:t>
            </w:r>
          </w:p>
        </w:tc>
      </w:tr>
      <w:tr w14:paraId="267CE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rHeight w:val="260" w:hRule="atLeast"/>
          <w:tblCellSpacing w:w="0" w:type="dxa"/>
          <w:jc w:val="center"/>
        </w:trPr>
        <w:tc>
          <w:tcPr>
            <w:tcW w:w="2499" w:type="dxa"/>
            <w:tcBorders>
              <w:top w:val="single" w:color="000000" w:sz="6" w:space="0"/>
              <w:left w:val="single" w:color="000000" w:sz="12" w:space="0"/>
              <w:bottom w:val="single" w:color="000000" w:sz="12" w:space="0"/>
              <w:right w:val="single" w:color="000000" w:sz="6" w:space="0"/>
            </w:tcBorders>
            <w:shd w:val="clear"/>
            <w:vAlign w:val="center"/>
          </w:tcPr>
          <w:p w14:paraId="1CCD7F1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铅化物（μg/m3）</w:t>
            </w:r>
          </w:p>
        </w:tc>
        <w:tc>
          <w:tcPr>
            <w:tcW w:w="3139" w:type="dxa"/>
            <w:tcBorders>
              <w:top w:val="single" w:color="000000" w:sz="6" w:space="0"/>
              <w:left w:val="single" w:color="000000" w:sz="6" w:space="0"/>
              <w:bottom w:val="single" w:color="000000" w:sz="12" w:space="0"/>
              <w:right w:val="single" w:color="000000" w:sz="6" w:space="0"/>
            </w:tcBorders>
            <w:shd w:val="clear"/>
            <w:vAlign w:val="center"/>
          </w:tcPr>
          <w:p w14:paraId="4D212B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6.0</w:t>
            </w:r>
          </w:p>
        </w:tc>
        <w:tc>
          <w:tcPr>
            <w:tcW w:w="2877" w:type="dxa"/>
            <w:tcBorders>
              <w:top w:val="single" w:color="000000" w:sz="6" w:space="0"/>
              <w:left w:val="single" w:color="000000" w:sz="6" w:space="0"/>
              <w:bottom w:val="single" w:color="000000" w:sz="12" w:space="0"/>
              <w:right w:val="single" w:color="000000" w:sz="12" w:space="0"/>
            </w:tcBorders>
            <w:shd w:val="clear"/>
            <w:vAlign w:val="center"/>
          </w:tcPr>
          <w:p w14:paraId="7A4C5E1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1.50（季平均）</w:t>
            </w:r>
          </w:p>
        </w:tc>
      </w:tr>
    </w:tbl>
    <w:p w14:paraId="588FF14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B．为保证施工场界和敏感受体附近的NO2、SO2、铅化物浓度能达到《空气污染物排放浓度限值》所述的国家的控制标准，承包人应确保下列措施的实施：</w:t>
      </w:r>
    </w:p>
    <w:p w14:paraId="1137B29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排污量大的车辆及燃油机械设备需配置尾气净化装置。</w:t>
      </w:r>
    </w:p>
    <w:p w14:paraId="21E48D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承包人需做好本标场内临时道路的洒水降尘工作。</w:t>
      </w:r>
    </w:p>
    <w:p w14:paraId="3D6985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执行《在用汽车报废标准》，推行强制更新报废制度。</w:t>
      </w:r>
    </w:p>
    <w:p w14:paraId="7F65A4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承包人有责任设计和实施以上相应的空气污染控制措施，并承担有关的一切费用。</w:t>
      </w:r>
    </w:p>
    <w:p w14:paraId="31CFEA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（4）噪声污染控制</w:t>
      </w:r>
    </w:p>
    <w:p w14:paraId="6E15CF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1）工程开工前14天，承包人应根据其准备使用的施工或运输机械设备的类型、施工方法，制定降低噪声的方法和措施提交发包人和监理人审查、批准。</w:t>
      </w:r>
    </w:p>
    <w:p w14:paraId="5CFE0B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2）承包人应密切配合发包人和监理人对其降噪措施进行检查和检测。</w:t>
      </w:r>
    </w:p>
    <w:p w14:paraId="06D001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3）施工期间，承包人应遵守《建筑施工场界噪声限值》（GB12523—90），对施工场地产生的噪声加以控制（见下表）。</w:t>
      </w:r>
    </w:p>
    <w:p w14:paraId="2B8CA7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4）承包人于施工期间除按上述标准控制施工场地噪声外，还应禁止任何持续的高强噪声的操作。</w:t>
      </w:r>
    </w:p>
    <w:p w14:paraId="3CC94B4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表1.9.2-5 建筑施工场界噪声限值（GB12523-90）（等效声级Leg）</w:t>
      </w:r>
    </w:p>
    <w:tbl>
      <w:tblPr>
        <w:tblW w:w="0" w:type="auto"/>
        <w:jc w:val="center"/>
        <w:tblCellSpacing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autofit"/>
        <w:tblCellMar>
          <w:top w:w="0" w:type="dxa"/>
          <w:left w:w="108" w:type="dxa"/>
          <w:bottom w:w="0" w:type="dxa"/>
          <w:right w:w="108" w:type="dxa"/>
        </w:tblCellMar>
      </w:tblPr>
      <w:tblGrid>
        <w:gridCol w:w="1347"/>
        <w:gridCol w:w="3002"/>
        <w:gridCol w:w="1859"/>
        <w:gridCol w:w="2206"/>
      </w:tblGrid>
      <w:tr w14:paraId="7B0C6C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blCellSpacing w:w="0" w:type="dxa"/>
          <w:jc w:val="center"/>
        </w:trPr>
        <w:tc>
          <w:tcPr>
            <w:tcW w:w="1347" w:type="dxa"/>
            <w:vMerge w:val="restart"/>
            <w:tcBorders>
              <w:top w:val="single" w:color="000000" w:sz="12" w:space="0"/>
              <w:left w:val="single" w:color="000000" w:sz="12" w:space="0"/>
              <w:bottom w:val="single" w:color="000000" w:sz="6" w:space="0"/>
              <w:right w:val="single" w:color="000000" w:sz="6" w:space="0"/>
            </w:tcBorders>
            <w:shd w:val="clear"/>
            <w:vAlign w:val="center"/>
          </w:tcPr>
          <w:p w14:paraId="658692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施工阶段</w:t>
            </w:r>
          </w:p>
        </w:tc>
        <w:tc>
          <w:tcPr>
            <w:tcW w:w="3002" w:type="dxa"/>
            <w:vMerge w:val="restart"/>
            <w:tcBorders>
              <w:top w:val="single" w:color="000000" w:sz="12" w:space="0"/>
              <w:left w:val="single" w:color="000000" w:sz="6" w:space="0"/>
              <w:bottom w:val="single" w:color="000000" w:sz="6" w:space="0"/>
              <w:right w:val="single" w:color="000000" w:sz="6" w:space="0"/>
            </w:tcBorders>
            <w:shd w:val="clear"/>
            <w:vAlign w:val="center"/>
          </w:tcPr>
          <w:p w14:paraId="44EF25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主要噪声源</w:t>
            </w:r>
          </w:p>
        </w:tc>
        <w:tc>
          <w:tcPr>
            <w:tcW w:w="4065" w:type="dxa"/>
            <w:gridSpan w:val="2"/>
            <w:tcBorders>
              <w:top w:val="single" w:color="000000" w:sz="12" w:space="0"/>
              <w:left w:val="single" w:color="000000" w:sz="6" w:space="0"/>
              <w:bottom w:val="single" w:color="000000" w:sz="6" w:space="0"/>
              <w:right w:val="single" w:color="000000" w:sz="12" w:space="0"/>
            </w:tcBorders>
            <w:shd w:val="clear"/>
            <w:vAlign w:val="center"/>
          </w:tcPr>
          <w:p w14:paraId="201C88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噪声限值〔dB（A）〕</w:t>
            </w:r>
          </w:p>
        </w:tc>
      </w:tr>
      <w:tr w14:paraId="627122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blCellSpacing w:w="0" w:type="dxa"/>
          <w:jc w:val="center"/>
        </w:trPr>
        <w:tc>
          <w:tcPr>
            <w:tcW w:w="1347" w:type="dxa"/>
            <w:vMerge w:val="continue"/>
            <w:tcBorders>
              <w:top w:val="single" w:color="000000" w:sz="12" w:space="0"/>
              <w:left w:val="single" w:color="000000" w:sz="12" w:space="0"/>
              <w:bottom w:val="single" w:color="000000" w:sz="6" w:space="0"/>
              <w:right w:val="single" w:color="000000" w:sz="6" w:space="0"/>
            </w:tcBorders>
            <w:shd w:val="clear"/>
            <w:vAlign w:val="center"/>
          </w:tcPr>
          <w:p w14:paraId="6AC58838">
            <w:pPr>
              <w:rPr>
                <w:rFonts w:hint="eastAsia" w:ascii="宋体"/>
                <w:sz w:val="24"/>
                <w:szCs w:val="24"/>
              </w:rPr>
            </w:pPr>
          </w:p>
        </w:tc>
        <w:tc>
          <w:tcPr>
            <w:tcW w:w="3002" w:type="dxa"/>
            <w:vMerge w:val="continue"/>
            <w:tcBorders>
              <w:top w:val="single" w:color="000000" w:sz="12" w:space="0"/>
              <w:left w:val="single" w:color="000000" w:sz="6" w:space="0"/>
              <w:bottom w:val="single" w:color="000000" w:sz="6" w:space="0"/>
              <w:right w:val="single" w:color="000000" w:sz="6" w:space="0"/>
            </w:tcBorders>
            <w:shd w:val="clear"/>
            <w:vAlign w:val="center"/>
          </w:tcPr>
          <w:p w14:paraId="2F7835BB">
            <w:pPr>
              <w:rPr>
                <w:rFonts w:hint="eastAsia" w:ascii="宋体"/>
                <w:sz w:val="24"/>
                <w:szCs w:val="24"/>
              </w:rPr>
            </w:pPr>
          </w:p>
        </w:tc>
        <w:tc>
          <w:tcPr>
            <w:tcW w:w="1859" w:type="dxa"/>
            <w:tcBorders>
              <w:top w:val="single" w:color="000000" w:sz="6" w:space="0"/>
              <w:left w:val="single" w:color="000000" w:sz="6" w:space="0"/>
              <w:bottom w:val="single" w:color="000000" w:sz="6" w:space="0"/>
              <w:right w:val="single" w:color="000000" w:sz="6" w:space="0"/>
            </w:tcBorders>
            <w:shd w:val="clear"/>
            <w:vAlign w:val="center"/>
          </w:tcPr>
          <w:p w14:paraId="7F8B91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昼间</w:t>
            </w:r>
          </w:p>
        </w:tc>
        <w:tc>
          <w:tcPr>
            <w:tcW w:w="2206" w:type="dxa"/>
            <w:tcBorders>
              <w:top w:val="single" w:color="000000" w:sz="6" w:space="0"/>
              <w:left w:val="single" w:color="000000" w:sz="6" w:space="0"/>
              <w:bottom w:val="single" w:color="000000" w:sz="6" w:space="0"/>
              <w:right w:val="single" w:color="000000" w:sz="12" w:space="0"/>
            </w:tcBorders>
            <w:shd w:val="clear"/>
            <w:vAlign w:val="center"/>
          </w:tcPr>
          <w:p w14:paraId="426AFD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夜间</w:t>
            </w:r>
          </w:p>
        </w:tc>
      </w:tr>
      <w:tr w14:paraId="5C6ACF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blCellSpacing w:w="0" w:type="dxa"/>
          <w:jc w:val="center"/>
        </w:trPr>
        <w:tc>
          <w:tcPr>
            <w:tcW w:w="1347" w:type="dxa"/>
            <w:tcBorders>
              <w:top w:val="single" w:color="000000" w:sz="6" w:space="0"/>
              <w:left w:val="single" w:color="000000" w:sz="12" w:space="0"/>
              <w:bottom w:val="single" w:color="000000" w:sz="6" w:space="0"/>
              <w:right w:val="single" w:color="000000" w:sz="6" w:space="0"/>
            </w:tcBorders>
            <w:shd w:val="clear"/>
            <w:vAlign w:val="center"/>
          </w:tcPr>
          <w:p w14:paraId="76F5E4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土石方</w:t>
            </w:r>
          </w:p>
        </w:tc>
        <w:tc>
          <w:tcPr>
            <w:tcW w:w="3002" w:type="dxa"/>
            <w:tcBorders>
              <w:top w:val="single" w:color="000000" w:sz="6" w:space="0"/>
              <w:left w:val="single" w:color="000000" w:sz="6" w:space="0"/>
              <w:bottom w:val="single" w:color="000000" w:sz="6" w:space="0"/>
              <w:right w:val="single" w:color="000000" w:sz="6" w:space="0"/>
            </w:tcBorders>
            <w:shd w:val="clear"/>
            <w:vAlign w:val="center"/>
          </w:tcPr>
          <w:p w14:paraId="550CE8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推土机、挖掘机、装载机等</w:t>
            </w:r>
          </w:p>
        </w:tc>
        <w:tc>
          <w:tcPr>
            <w:tcW w:w="1859" w:type="dxa"/>
            <w:tcBorders>
              <w:top w:val="single" w:color="000000" w:sz="6" w:space="0"/>
              <w:left w:val="single" w:color="000000" w:sz="6" w:space="0"/>
              <w:bottom w:val="single" w:color="000000" w:sz="6" w:space="0"/>
              <w:right w:val="single" w:color="000000" w:sz="6" w:space="0"/>
            </w:tcBorders>
            <w:shd w:val="clear"/>
            <w:vAlign w:val="center"/>
          </w:tcPr>
          <w:p w14:paraId="4A715F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75</w:t>
            </w:r>
          </w:p>
        </w:tc>
        <w:tc>
          <w:tcPr>
            <w:tcW w:w="2206" w:type="dxa"/>
            <w:tcBorders>
              <w:top w:val="single" w:color="000000" w:sz="6" w:space="0"/>
              <w:left w:val="single" w:color="000000" w:sz="6" w:space="0"/>
              <w:bottom w:val="single" w:color="000000" w:sz="6" w:space="0"/>
              <w:right w:val="single" w:color="000000" w:sz="12" w:space="0"/>
            </w:tcBorders>
            <w:shd w:val="clear"/>
            <w:vAlign w:val="center"/>
          </w:tcPr>
          <w:p w14:paraId="4419EC6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55</w:t>
            </w:r>
          </w:p>
        </w:tc>
      </w:tr>
      <w:tr w14:paraId="01DFDD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blCellSpacing w:w="0" w:type="dxa"/>
          <w:jc w:val="center"/>
        </w:trPr>
        <w:tc>
          <w:tcPr>
            <w:tcW w:w="1347" w:type="dxa"/>
            <w:tcBorders>
              <w:top w:val="single" w:color="000000" w:sz="6" w:space="0"/>
              <w:left w:val="single" w:color="000000" w:sz="12" w:space="0"/>
              <w:bottom w:val="single" w:color="000000" w:sz="6" w:space="0"/>
              <w:right w:val="single" w:color="000000" w:sz="6" w:space="0"/>
            </w:tcBorders>
            <w:shd w:val="clear"/>
            <w:vAlign w:val="center"/>
          </w:tcPr>
          <w:p w14:paraId="623CC6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结构</w:t>
            </w:r>
          </w:p>
        </w:tc>
        <w:tc>
          <w:tcPr>
            <w:tcW w:w="3002" w:type="dxa"/>
            <w:tcBorders>
              <w:top w:val="single" w:color="000000" w:sz="6" w:space="0"/>
              <w:left w:val="single" w:color="000000" w:sz="6" w:space="0"/>
              <w:bottom w:val="single" w:color="000000" w:sz="6" w:space="0"/>
              <w:right w:val="single" w:color="000000" w:sz="6" w:space="0"/>
            </w:tcBorders>
            <w:shd w:val="clear"/>
            <w:vAlign w:val="center"/>
          </w:tcPr>
          <w:p w14:paraId="3E70F6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混凝土搅拌机、振捣器等</w:t>
            </w:r>
          </w:p>
        </w:tc>
        <w:tc>
          <w:tcPr>
            <w:tcW w:w="1859" w:type="dxa"/>
            <w:tcBorders>
              <w:top w:val="single" w:color="000000" w:sz="6" w:space="0"/>
              <w:left w:val="single" w:color="000000" w:sz="6" w:space="0"/>
              <w:bottom w:val="single" w:color="000000" w:sz="6" w:space="0"/>
              <w:right w:val="single" w:color="000000" w:sz="6" w:space="0"/>
            </w:tcBorders>
            <w:shd w:val="clear"/>
            <w:vAlign w:val="center"/>
          </w:tcPr>
          <w:p w14:paraId="607DA6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70</w:t>
            </w:r>
          </w:p>
        </w:tc>
        <w:tc>
          <w:tcPr>
            <w:tcW w:w="2206" w:type="dxa"/>
            <w:tcBorders>
              <w:top w:val="single" w:color="000000" w:sz="6" w:space="0"/>
              <w:left w:val="single" w:color="000000" w:sz="6" w:space="0"/>
              <w:bottom w:val="single" w:color="000000" w:sz="6" w:space="0"/>
              <w:right w:val="single" w:color="000000" w:sz="12" w:space="0"/>
            </w:tcBorders>
            <w:shd w:val="clear"/>
            <w:vAlign w:val="center"/>
          </w:tcPr>
          <w:p w14:paraId="775DBB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55</w:t>
            </w:r>
          </w:p>
        </w:tc>
      </w:tr>
      <w:tr w14:paraId="63F285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CellMar>
            <w:top w:w="0" w:type="dxa"/>
            <w:left w:w="108" w:type="dxa"/>
            <w:bottom w:w="0" w:type="dxa"/>
            <w:right w:w="108" w:type="dxa"/>
          </w:tblCellMar>
        </w:tblPrEx>
        <w:trPr>
          <w:tblCellSpacing w:w="0" w:type="dxa"/>
          <w:jc w:val="center"/>
        </w:trPr>
        <w:tc>
          <w:tcPr>
            <w:tcW w:w="1347" w:type="dxa"/>
            <w:tcBorders>
              <w:top w:val="single" w:color="000000" w:sz="6" w:space="0"/>
              <w:left w:val="single" w:color="000000" w:sz="12" w:space="0"/>
              <w:bottom w:val="single" w:color="000000" w:sz="12" w:space="0"/>
              <w:right w:val="single" w:color="000000" w:sz="6" w:space="0"/>
            </w:tcBorders>
            <w:shd w:val="clear"/>
            <w:vAlign w:val="center"/>
          </w:tcPr>
          <w:p w14:paraId="70A39B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打桩</w:t>
            </w:r>
          </w:p>
        </w:tc>
        <w:tc>
          <w:tcPr>
            <w:tcW w:w="3002" w:type="dxa"/>
            <w:tcBorders>
              <w:top w:val="single" w:color="000000" w:sz="6" w:space="0"/>
              <w:left w:val="single" w:color="000000" w:sz="6" w:space="0"/>
              <w:bottom w:val="single" w:color="000000" w:sz="12" w:space="0"/>
              <w:right w:val="single" w:color="000000" w:sz="6" w:space="0"/>
            </w:tcBorders>
            <w:shd w:val="clear"/>
            <w:vAlign w:val="center"/>
          </w:tcPr>
          <w:p w14:paraId="69BEDF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各种打桩机</w:t>
            </w:r>
          </w:p>
        </w:tc>
        <w:tc>
          <w:tcPr>
            <w:tcW w:w="1859" w:type="dxa"/>
            <w:tcBorders>
              <w:top w:val="single" w:color="000000" w:sz="6" w:space="0"/>
              <w:left w:val="single" w:color="000000" w:sz="6" w:space="0"/>
              <w:bottom w:val="single" w:color="000000" w:sz="12" w:space="0"/>
              <w:right w:val="single" w:color="000000" w:sz="6" w:space="0"/>
            </w:tcBorders>
            <w:shd w:val="clear"/>
            <w:vAlign w:val="center"/>
          </w:tcPr>
          <w:p w14:paraId="1265E2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85</w:t>
            </w:r>
          </w:p>
        </w:tc>
        <w:tc>
          <w:tcPr>
            <w:tcW w:w="2206" w:type="dxa"/>
            <w:tcBorders>
              <w:top w:val="single" w:color="000000" w:sz="6" w:space="0"/>
              <w:left w:val="single" w:color="000000" w:sz="6" w:space="0"/>
              <w:bottom w:val="single" w:color="000000" w:sz="12" w:space="0"/>
              <w:right w:val="single" w:color="000000" w:sz="12" w:space="0"/>
            </w:tcBorders>
            <w:shd w:val="clear"/>
            <w:vAlign w:val="center"/>
          </w:tcPr>
          <w:p w14:paraId="2F8069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bdr w:val="none" w:color="auto" w:sz="0" w:space="0"/>
              </w:rPr>
              <w:t>禁止施工</w:t>
            </w:r>
          </w:p>
        </w:tc>
      </w:tr>
    </w:tbl>
    <w:p w14:paraId="573BB7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承包人在制定施工计划、施工方法及降噪措施时，应充分考虑噪声对周边其他环境敏感点的影响，委派环保专职人员监督实施，使施工场界和敏感受体的噪声水平能达到国家噪声控制标准，并且确保下列措施的实施：</w:t>
      </w:r>
    </w:p>
    <w:p w14:paraId="5B71B68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施工期间，承包人应将动力机械设备合理分布在施工场地，应尽量避免在敏感受体附近同时布置或运行多套动力机械设备。</w:t>
      </w:r>
    </w:p>
    <w:p w14:paraId="6CB5D10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施工期间，承包人应于施工场地与周边地区和敏感受体之间合理安装声障设施，以有效阻隔噪声向施工场地周边和敏感受体的方向传播。采用的声障设施要设计合理、性能优良、坚固耐用。声障的设计应于施工前14天送交发包人和监理人审查通过。</w:t>
      </w:r>
    </w:p>
    <w:p w14:paraId="22522C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加强设备的维护和保养。各种动力机械设备暂时不用时应关机。</w:t>
      </w:r>
    </w:p>
    <w:p w14:paraId="074E48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混凝土生产系统的空压机应设置消声器。振动大的机械设备使用减振机座降低噪声。</w:t>
      </w:r>
    </w:p>
    <w:p w14:paraId="322FD2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严禁在施工场界内使用气喇叭。</w:t>
      </w:r>
    </w:p>
    <w:p w14:paraId="108133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承包人应采取必要的预防措施保障职工的听力健康。</w:t>
      </w:r>
    </w:p>
    <w:p w14:paraId="429FF6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对施工人员应采取可靠的防护措施：佩戴耳塞或耳罩、耳棉。常见防护用品如下表所示。注意施工人员的合理作息，增强身体对环境污染的抵抗力。加强对施工人员的操作培训，减少突发事故和突发噪声的发生。</w:t>
      </w:r>
    </w:p>
    <w:p w14:paraId="2DAD4E4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6）承包人有责任设计和实施以上相应的声污染控制措施，并承担有关的一切费用。</w:t>
      </w:r>
    </w:p>
    <w:p w14:paraId="73502B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 固体废弃物处理</w:t>
      </w:r>
    </w:p>
    <w:p w14:paraId="6666FDC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固体废物包括生活、生产垃圾和施工弃渣。</w:t>
      </w:r>
    </w:p>
    <w:p w14:paraId="147DA0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1）本标范围内产生的生活垃圾由承包人负责收集、运输及处理。承包人应设置必要的生活卫生设施（垃圾桶等），及时清扫生活垃圾，并将其定期统一运往垃圾填埋场进行填埋处理。</w:t>
      </w:r>
    </w:p>
    <w:p w14:paraId="69C899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2）机械修理及汽修等产生的生产垃圾含有较多的金属类废品，其中部分仍具有一定的回收价值，由承包人负责尽可能回收利用处理。其他生产垃圾统一运至垃圾填埋场进行填埋处理。</w:t>
      </w:r>
    </w:p>
    <w:p w14:paraId="117B0FA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3）施工弃渣</w:t>
      </w:r>
    </w:p>
    <w:p w14:paraId="19E018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按本合同技术条款的有关规定和监理人的指示做好施工弃渣（土）的处理，严格按指定的渣场弃渣，并采取碾压、挡护等措施，承包人不得任意堆放弃渣，严禁向公路边坡及河道乱弃渣，防止和减少水土流失。否则按违约处理，由此发生的一切费用由承包人自行承担。</w:t>
      </w:r>
    </w:p>
    <w:p w14:paraId="2D41EA6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对因施工造成场地塌滑、毁坏林草和场地造成泥沙漫流等问题，承包人应接受发包人、监理人及水行政主管部门的监督检查，并及时、无条件地进行处理，由此发生的一切费用由承包人自行承担。</w:t>
      </w:r>
    </w:p>
    <w:p w14:paraId="48CEC9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所有废固物的处置遵照《中华人民共和国固体废物污染环境防治法》实行。</w:t>
      </w:r>
    </w:p>
    <w:p w14:paraId="769E78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 有毒有害和危险品</w:t>
      </w:r>
    </w:p>
    <w:p w14:paraId="400B85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承包人应按规定，对有毒有害和危险品严格管理，防止污染事故和安全事故的发生，由承包人的原因引起的损失和相关责任由承包人承担。</w:t>
      </w:r>
    </w:p>
    <w:p w14:paraId="5B54DB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1.9.3 生态环境保护</w:t>
      </w:r>
    </w:p>
    <w:p w14:paraId="46E9AB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 陆生动植物及资源保护</w:t>
      </w:r>
    </w:p>
    <w:p w14:paraId="27A72A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本合同陆生动植物及资源保护工程范围为本标施工区及生活区，在施工期间承包人有义务明确以下保护措施：</w:t>
      </w:r>
    </w:p>
    <w:p w14:paraId="33F2B9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1）承包人开始在施工场地内砍树和清除表土的工作以前，应得到发包人和监理人的认可。</w:t>
      </w:r>
    </w:p>
    <w:p w14:paraId="0ECD19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2）承包人严禁在本标划定的施工区范围外砍伐树木。</w:t>
      </w:r>
    </w:p>
    <w:p w14:paraId="3E63FB4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3）未经发包人和监理人批准，承包人不得于施工区附近的任何地点倾倒废弃物。</w:t>
      </w:r>
    </w:p>
    <w:p w14:paraId="0495DE2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 景观与视觉保护要求</w:t>
      </w:r>
    </w:p>
    <w:p w14:paraId="62AC895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1）施工期间，承包人应负责生产场地（对于部分空闲地可以进行绿化的施工临时用地）的绿化、美化工作，改善生活环境，保证环境优美。</w:t>
      </w:r>
    </w:p>
    <w:p w14:paraId="293D5F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2）各种临时停放的机械车辆应停放整齐有序。</w:t>
      </w:r>
    </w:p>
    <w:p w14:paraId="42EC698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3）各种临时施工设施（如：临时住房、仓库、厂房等）在设计及建造时应考虑美观和与周围环境协调的要求。</w:t>
      </w:r>
    </w:p>
    <w:p w14:paraId="5A2E37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4）弃土运输道路应远离视觉敏感受体。</w:t>
      </w:r>
    </w:p>
    <w:p w14:paraId="2D76296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1.9.4 人群健康保护</w:t>
      </w:r>
    </w:p>
    <w:p w14:paraId="6D5E94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承包人对本标工程施工区和生活区内的卫生及施工人员的健康应确保以下措施：</w:t>
      </w:r>
    </w:p>
    <w:p w14:paraId="607267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（1）在工程施工人员进入生活区和作业面前，委托或配合施工区医疗卫生机构进行卫生清理，采取消毒、杀虫、灭鼠等卫生措施，并对饮用水进行消毒。</w:t>
      </w:r>
    </w:p>
    <w:p w14:paraId="5863EBE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（2）对施工进驻人员，做好疫情防控措施，确保不发生疫情感染。疫情防控措施需报监理工程师和发包人批准。</w:t>
      </w:r>
    </w:p>
    <w:p w14:paraId="08B0C1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（3）职工食堂应严格执行《中华人民共和国食品卫生法》相应条款。</w:t>
      </w:r>
    </w:p>
    <w:p w14:paraId="23CF56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（4）所有传染病人、病原携带者和疑似病人一律不得从事易于使该病传播的职业或工种。</w:t>
      </w:r>
    </w:p>
    <w:p w14:paraId="15BD577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进行与本合同有关的施工区及生活区疾病预防及急救措施发生的费用由承包人承担。</w:t>
      </w:r>
    </w:p>
    <w:p w14:paraId="5F339B8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（5）水土保持措施</w:t>
      </w:r>
    </w:p>
    <w:p w14:paraId="2D3AB7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本合同负责本标涉及的施工场地（永久区及临时区）、施工使用道路及所使用的渣场的水土保持工程措施，并进行工程结束后的场地清理。</w:t>
      </w:r>
    </w:p>
    <w:p w14:paraId="3F74D0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1）施工场地</w:t>
      </w:r>
    </w:p>
    <w:p w14:paraId="5092B16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承包人应自觉保护施工场地周围的林草和水土保持设施，尽量减少对地表的扰动，避免或减少由于施工造成的水土流失。</w:t>
      </w:r>
    </w:p>
    <w:p w14:paraId="00709C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承包人应根据施工特点，对施工场地（包括永久、临时场地）事先采取水土保持措施。</w:t>
      </w:r>
    </w:p>
    <w:p w14:paraId="442ACE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按合同规定采取有效措施做好本标合同范围内工程项目的开挖支护、排水、固结灌浆、混凝土浇筑、挡护及排水等工程防护措施。做好混凝土拌和区、工程开挖边坡、施工生活区等临时建筑周围截水、排水，开挖边坡支护、挡护等工程防护措施。</w:t>
      </w:r>
    </w:p>
    <w:p w14:paraId="715D05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2）场内交通设施</w:t>
      </w:r>
    </w:p>
    <w:p w14:paraId="48EA5E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承包人在弃渣运输时应采取防泄漏措施，对出现的部分渣料遗撒情况，予以必要的清理或回收。</w:t>
      </w:r>
    </w:p>
    <w:p w14:paraId="030EDF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对由本合同承包人负责修建的场内交通公路边坡采取有效的水土流失防治措施。</w:t>
      </w:r>
    </w:p>
    <w:p w14:paraId="3945A1C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3）渣场</w:t>
      </w:r>
    </w:p>
    <w:p w14:paraId="14B21A4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本标在弃渣场使用期间，应确保做好以下水土保持措施：</w:t>
      </w:r>
    </w:p>
    <w:p w14:paraId="2F76CA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弃渣运输采取防泄漏措施。</w:t>
      </w:r>
    </w:p>
    <w:p w14:paraId="738543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承包人施工期间应始终维护工地的良好排水状态，防止降雨对施工场地地表的冲刷，包括事先设置排水沟、涵洞（管）等。</w:t>
      </w:r>
    </w:p>
    <w:p w14:paraId="53E378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开挖料如临时堆放，承包人应选择不易受径流冲刷侵蚀的场地，并在其周边修建临时排水沟引排周边汇水，必要时选择土工布遮盖。</w:t>
      </w:r>
    </w:p>
    <w:p w14:paraId="7958D9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因承包人未设置足够的排水设施致使环境及工程遭受破坏时，其责任由承包人自负。</w:t>
      </w:r>
    </w:p>
    <w:p w14:paraId="519F0F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严格控制堆渣程序，保证堆渣边坡坡度。</w:t>
      </w:r>
    </w:p>
    <w:p w14:paraId="448D14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承包人需服从监理人的协调和负责渣场维护及管理的承包人指挥。</w:t>
      </w:r>
    </w:p>
    <w:p w14:paraId="3A4F910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1.9.5 场地清理</w:t>
      </w:r>
    </w:p>
    <w:p w14:paraId="03341C9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场地清理范围包括本标范围内的临时施工场地及监理人指定的其他场地，并需经监理人检验合格为止。</w:t>
      </w:r>
    </w:p>
    <w:p w14:paraId="79B26C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（1）在每一施工工区，当施工结束后，承包人应及时拆除各种临时设施（沉淀池等）、地面以上部分临时建筑结构。</w:t>
      </w:r>
    </w:p>
    <w:p w14:paraId="663408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（2）承包人使用的所有材料和设备按计划撤离现场，工地范围内废弃的材料、设备及其他生产垃圾应全部统一按监理人指定的地点和方式处理。</w:t>
      </w:r>
    </w:p>
    <w:p w14:paraId="2A7327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（3）对施工区内的排水沟道、防护措施等水土保持设施在撤离前应进行疏通和修整。</w:t>
      </w:r>
    </w:p>
    <w:p w14:paraId="02CB88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（4）按合同要求及监理人指示拆除其他有关设施及结构，及时进行场地清理。</w:t>
      </w:r>
    </w:p>
    <w:p w14:paraId="780538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1.9.6 环境保护与水土保持设施的验收</w:t>
      </w:r>
    </w:p>
    <w:p w14:paraId="5DF6BA7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（1）工程环境保护、水土保持专项设施的竣工验收分别按国家《建设项目环境保护设施竣工验收管理规定》和《开发建设项目水土保持设施验收管理办法》的有关规定执行。</w:t>
      </w:r>
    </w:p>
    <w:p w14:paraId="6B128D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（2）施工场（区）内的专项环境保护、水土保持设施的验收由监理人组织，邀请有关部门参加并签署意见。专项环境保护与水土保持设施验收不合格的不能投产使用。</w:t>
      </w:r>
    </w:p>
    <w:p w14:paraId="051585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2．性能保证</w:t>
      </w:r>
    </w:p>
    <w:p w14:paraId="113B63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2.1 承包人提供的项目土建和系统集成应能满足招标方提出的性能及质量要求，当由第三方所做的性能试验证明投标方不能达到以下技术指标，招标方将对投标方进行罚款，详见招标文件第四章。如果整个工艺过程不能满足运行保证中所许诺的要求，则投标方应负责修理、替换或者处理所有的物料、设备或其他，以便满足运行保证要求。这部分费用由投标方负责（包括修理、替换或者处理、拆卸和安装所需要的人员费用）。在完成修理、替换或者其他处理后，整个工艺过程应按合同重新进行试验，费用由投标方负责。在此之前的某些试验阶段，一些试验保证已经成功地被验证，如果由于修理、替换或者其他处理措施对已验证了的运行保证产生可能的不利影响，则整个工艺系统还需要按所有要求重新试验，费用由投标方负责。</w:t>
      </w:r>
    </w:p>
    <w:p w14:paraId="539BC0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2.2 第一次运行试验完全成功后的5年时间里，如果投标方所提供的光伏发电系统的设备和部件出现故障，投标方应负责修理和替换，直至招标方完全满意，费用由投标方负责。</w:t>
      </w:r>
    </w:p>
    <w:p w14:paraId="5F70FE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2.3 主要性能保证</w:t>
      </w:r>
    </w:p>
    <w:p w14:paraId="0DE473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在设计工况下，承包人应确保下列技术指标，当由第三方所做的性能试验证明承包人不能达到以下技术指标，发包人将对承包人进行罚款，详见招标文件第四章。</w:t>
      </w:r>
    </w:p>
    <w:p w14:paraId="354BE5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（1）年故障小时数：&lt;12小时</w:t>
      </w:r>
    </w:p>
    <w:p w14:paraId="065B567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（2）发电当年系统总效率：≥87%（光伏方阵至箱变高压侧）</w:t>
      </w:r>
    </w:p>
    <w:p w14:paraId="3EE1447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2.2 设备性能保证</w:t>
      </w:r>
    </w:p>
    <w:p w14:paraId="700716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2.2.1 本工程所有设备产品内容包括设计、结构、性能、安装、试验、调试及现场服务和技术服务。所有设备、备品备件，包括从第三方获得的所有附件和设备，均应遵照最新版本的行业标准、国家标准（GB）和IEC标准及发包人企业标准。各标准不一致时，以最高标准为准。</w:t>
      </w:r>
    </w:p>
    <w:p w14:paraId="0939D8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2.2.2 本工程验收严格按照国家和地方关于并网光伏发电系统验收标准和规范执行。</w:t>
      </w:r>
    </w:p>
    <w:p w14:paraId="4ADC40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3．勘察设计要求</w:t>
      </w:r>
    </w:p>
    <w:p w14:paraId="566795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3.1 技术要求</w:t>
      </w:r>
    </w:p>
    <w:p w14:paraId="5D23BA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中标方应对本项目的工程勘察设计及与实施本工作有关的勘察设计活动负责。工程勘察设计应满足国家颁布的规范、标准、条例和行业惯例的要求。中标方必须保证工程勘察设计达到项目目标。中标方应完成所有必需的工程勘察设计。中标方应保持一支专业、合格的设计团队来完成勘察设计和与本工作有关的所有工程勘察设计。</w:t>
      </w:r>
    </w:p>
    <w:p w14:paraId="1C8935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勘察设计工作应该包含但不限于以下内容：</w:t>
      </w:r>
    </w:p>
    <w:p w14:paraId="69F7FB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（1）全部工程的勘察；</w:t>
      </w:r>
    </w:p>
    <w:p w14:paraId="2EC24BA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（2）初步设计；</w:t>
      </w:r>
    </w:p>
    <w:p w14:paraId="2B8182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（3）招标文件技术部分及工程量清单；</w:t>
      </w:r>
    </w:p>
    <w:p w14:paraId="307384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（4）全部工程施工图设计；</w:t>
      </w:r>
    </w:p>
    <w:p w14:paraId="5E2306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（5）全部工程竣工图编制；</w:t>
      </w:r>
    </w:p>
    <w:p w14:paraId="2F6C6DD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（6）施工图预算编制；</w:t>
      </w:r>
    </w:p>
    <w:p w14:paraId="137B3C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（7）编制所有设备、材料清单；</w:t>
      </w:r>
    </w:p>
    <w:p w14:paraId="0E9402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（8）编制所有设备、材料详细的技术规格书；</w:t>
      </w:r>
    </w:p>
    <w:p w14:paraId="3BE9CF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（9）审核所有设备、材料的文件；</w:t>
      </w:r>
    </w:p>
    <w:p w14:paraId="6B9EF0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（10）绘制现场安装图，包括用于辅助临时安装的图纸；</w:t>
      </w:r>
    </w:p>
    <w:p w14:paraId="63C19D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（11）编制试运行方案；</w:t>
      </w:r>
    </w:p>
    <w:p w14:paraId="061364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（12）进行技术评标；</w:t>
      </w:r>
    </w:p>
    <w:p w14:paraId="306699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（13）为采购、施工、预调试、试运行、运行、试验提供技术支持；</w:t>
      </w:r>
    </w:p>
    <w:p w14:paraId="7CC6D4E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（14）现场设计交底，确保项目的技术完整性；</w:t>
      </w:r>
    </w:p>
    <w:p w14:paraId="5E8BFD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（15）与政府有关部门保持联系，确保本工作符合中国的法律法规、标准、规范的要求，能够顺利取得相关证书；</w:t>
      </w:r>
    </w:p>
    <w:p w14:paraId="039E14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（16）编制政府有关部门审批所需文件；</w:t>
      </w:r>
    </w:p>
    <w:p w14:paraId="2A06470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(17) 设计方案精细、全面，图纸、文字说明、相关计算翔实；</w:t>
      </w:r>
    </w:p>
    <w:p w14:paraId="374A46A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(18) 设计方案用地合规、合理；</w:t>
      </w:r>
    </w:p>
    <w:p w14:paraId="7E70BD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(19) 光伏发电系统设计、集电线路设计，变配电系统设计、主要设备选型合理；</w:t>
      </w:r>
    </w:p>
    <w:p w14:paraId="56DDE5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(20) 建（构）筑物选型、布置合理，地基及基础设计能够结合当地地质情况及技术标准要求，方案完善、可靠、经济；</w:t>
      </w:r>
    </w:p>
    <w:p w14:paraId="159FB6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(21) 施工组织设计、场内外道路设计、渣场布置、土石方平衡合理；</w:t>
      </w:r>
    </w:p>
    <w:p w14:paraId="5DA5BE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(22) 对参考工程的调整合理、依据充分。</w:t>
      </w:r>
    </w:p>
    <w:p w14:paraId="72B95A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3.2 标准规范</w:t>
      </w:r>
    </w:p>
    <w:p w14:paraId="3D728F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中标方应遵照但不限于以下所列标准规范（如有更新，将以最新版为准）：</w:t>
      </w:r>
    </w:p>
    <w:p w14:paraId="590BD7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（1）GB/T50001：房屋建筑制图统一标准条文说明；</w:t>
      </w:r>
    </w:p>
    <w:p w14:paraId="7F188A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（2）GB/T50105：建筑结构制图标准；</w:t>
      </w:r>
    </w:p>
    <w:p w14:paraId="742CF6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（3）GB50003：砌体结构设计规范；</w:t>
      </w:r>
    </w:p>
    <w:p w14:paraId="3E26A9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（4）GB50007：建筑地基基础设计规范；</w:t>
      </w:r>
    </w:p>
    <w:p w14:paraId="37298E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（5）GB50009：建筑结构荷载规范；</w:t>
      </w:r>
    </w:p>
    <w:p w14:paraId="7018BE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（6）GB50010：混凝土结构设计规范；</w:t>
      </w:r>
    </w:p>
    <w:p w14:paraId="024201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（7）GB50011：建筑抗震设计规范；</w:t>
      </w:r>
    </w:p>
    <w:p w14:paraId="053CB8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（8）GB50015：建筑给水排水设计规范；</w:t>
      </w:r>
    </w:p>
    <w:p w14:paraId="336919C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（9）GB50016：建筑设计防火规范；</w:t>
      </w:r>
    </w:p>
    <w:p w14:paraId="5FC67C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（10）GB50017：钢结构设计规范；</w:t>
      </w:r>
    </w:p>
    <w:p w14:paraId="7F897A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（11）GB50021：岩土工程勘察规范；</w:t>
      </w:r>
    </w:p>
    <w:p w14:paraId="4FDE05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（12）GB/T 50033：建筑采光设计标准；</w:t>
      </w:r>
    </w:p>
    <w:p w14:paraId="0875A59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（13）GB50034：建筑照明设计标准；</w:t>
      </w:r>
    </w:p>
    <w:p w14:paraId="2CA279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（14）GB50046：工业建筑防腐蚀设计规范；</w:t>
      </w:r>
    </w:p>
    <w:p w14:paraId="7AC532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（15）GB50116：火灾自动报警系统设计规范；</w:t>
      </w:r>
    </w:p>
    <w:p w14:paraId="4A3E066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（16）GB50189：公共建筑节能设计标准；</w:t>
      </w:r>
    </w:p>
    <w:p w14:paraId="1C7508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（17）GB14907：钢结构防火涂料；</w:t>
      </w:r>
    </w:p>
    <w:p w14:paraId="141A3D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（18）GB50191：构筑物抗震设计规范；</w:t>
      </w:r>
    </w:p>
    <w:p w14:paraId="6C4E60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（19）GB50223：建筑工程抗震设防分类标准；</w:t>
      </w:r>
    </w:p>
    <w:p w14:paraId="2C1CB3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（20）GB50352：民用建筑设计通则；</w:t>
      </w:r>
    </w:p>
    <w:p w14:paraId="018DD6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（21）GBZ1：工业企业设计卫生标准；</w:t>
      </w:r>
    </w:p>
    <w:p w14:paraId="6183ED5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（22）JGJ67：办公建筑设计规范；</w:t>
      </w:r>
    </w:p>
    <w:p w14:paraId="468603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（23）JGJ94：建筑桩基技术规范；</w:t>
      </w:r>
    </w:p>
    <w:p w14:paraId="7D0412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（24）JGJ79：建筑地基处理技术规范；</w:t>
      </w:r>
    </w:p>
    <w:p w14:paraId="3580D5F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（25）JGJ82：钢结构高强度螺栓连接技术规程；</w:t>
      </w:r>
    </w:p>
    <w:p w14:paraId="7E97E18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（26）GB50057：建筑物防雷设计规范；</w:t>
      </w:r>
    </w:p>
    <w:p w14:paraId="58B1276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（27）GB14050：系统接地的型式及安全技术要求；</w:t>
      </w:r>
    </w:p>
    <w:p w14:paraId="6174DA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（28）GB50052：供配电系统设计规范；</w:t>
      </w:r>
    </w:p>
    <w:p w14:paraId="5D4412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（29）GB50054：低压配电设计规范；</w:t>
      </w:r>
    </w:p>
    <w:p w14:paraId="1CE1CF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（30）GB50055：通用用电设备配电设计规范；</w:t>
      </w:r>
    </w:p>
    <w:p w14:paraId="6DFE777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（31）GB50059：35~110 kV变电所设计规范；</w:t>
      </w:r>
    </w:p>
    <w:p w14:paraId="60716E7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（32）GB50065：交流电气装置的接地设计规范；</w:t>
      </w:r>
    </w:p>
    <w:p w14:paraId="0F75F6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（33）GB50217：电力工程电缆设计规范；</w:t>
      </w:r>
    </w:p>
    <w:p w14:paraId="37DB79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（34）GB12706：额定电压35kV及以下铜芯、铝芯塑料绝缘电力电缆；</w:t>
      </w:r>
    </w:p>
    <w:p w14:paraId="647CB1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（35）GB50227：并联电容器装置设计规范；</w:t>
      </w:r>
    </w:p>
    <w:p w14:paraId="40AC3CF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（36）GB50229 ：火力发电厂与变电所设计防火规范；</w:t>
      </w:r>
    </w:p>
    <w:p w14:paraId="37E86B9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（37）GB4943：信息技术设备的安全；</w:t>
      </w:r>
    </w:p>
    <w:p w14:paraId="24E25E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（38）GB14285：继电保护和安全自动装置技术规程；</w:t>
      </w:r>
    </w:p>
    <w:p w14:paraId="5155C0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（39）GB/T6451：油浸式电力变压器技术参数和要求；</w:t>
      </w:r>
    </w:p>
    <w:p w14:paraId="56B000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（40）GB/T10228：干式电力变压器技术参数和要求；</w:t>
      </w:r>
    </w:p>
    <w:p w14:paraId="6F5000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（41）GB/T50060：35-110kV高压配电装置设计规程；</w:t>
      </w:r>
    </w:p>
    <w:p w14:paraId="1D17FA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（42）GB/T50062：电力装置的继电保护和自动装置设计规范；</w:t>
      </w:r>
    </w:p>
    <w:p w14:paraId="630F64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（43）GB/T50063：电力装置的电测量仪表装置设计规范；</w:t>
      </w:r>
    </w:p>
    <w:p w14:paraId="63A4F5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（44）GB/T14549：电能质量公用电网谐波；</w:t>
      </w:r>
    </w:p>
    <w:p w14:paraId="1BB807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（45）GB/T12325：电能质量供电电压偏差；</w:t>
      </w:r>
    </w:p>
    <w:p w14:paraId="788827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（46）GB/T12326：电能质量电压波动和闪变；</w:t>
      </w:r>
    </w:p>
    <w:p w14:paraId="682BCC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（47）GB/T15543：电能质量三相电压不平衡；</w:t>
      </w:r>
    </w:p>
    <w:p w14:paraId="6000C1B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（48）DL5027：电力设备典型消防规程；</w:t>
      </w:r>
    </w:p>
    <w:p w14:paraId="1030040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（49）DL/T5002：地区电网调度自动化设计技术规程；</w:t>
      </w:r>
    </w:p>
    <w:p w14:paraId="59451F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（50）DL/T5003：电力系统调度自动化设计技术规程；</w:t>
      </w:r>
    </w:p>
    <w:p w14:paraId="61D4AE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（51）DL/T5044：电力工程直流系统设计技术规程；</w:t>
      </w:r>
    </w:p>
    <w:p w14:paraId="40AE87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（52）DL/T5103：35kV～110kV无人值班变电站设计规程；</w:t>
      </w:r>
    </w:p>
    <w:p w14:paraId="7E05F18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（53）DL/T5137：电测量及电能计量装置设计技术规程；</w:t>
      </w:r>
    </w:p>
    <w:p w14:paraId="35038E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（54）DL/T5222：导体和电器选择设计技术规定；</w:t>
      </w:r>
    </w:p>
    <w:p w14:paraId="59DECE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（55）DL/T5352：高压配电装置设计技术规程；</w:t>
      </w:r>
    </w:p>
    <w:p w14:paraId="57E0CAE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（56）DL/T448：电能计量装置技术管理规程；</w:t>
      </w:r>
    </w:p>
    <w:p w14:paraId="0A0D85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（57）DL/T476：电力系统实时数据通信应用层协议；</w:t>
      </w:r>
    </w:p>
    <w:p w14:paraId="2B41A9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（58）DL/T516：电网调度自动化系统运行管理规程；</w:t>
      </w:r>
    </w:p>
    <w:p w14:paraId="325FA6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（59）DL/T634：远动设备及系统；</w:t>
      </w:r>
    </w:p>
    <w:p w14:paraId="57583D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（60）DL/T645：多功能电能表通信协议；</w:t>
      </w:r>
    </w:p>
    <w:p w14:paraId="1B8B8A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（61）DL/T719：远动设备及系统；</w:t>
      </w:r>
    </w:p>
    <w:p w14:paraId="3E1D28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（62）DL/T720：电力系统继电保护柜、屏通用技术条件；</w:t>
      </w:r>
    </w:p>
    <w:p w14:paraId="758AFB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（63）DL/T769：电力系统微机继电保护技术导则；</w:t>
      </w:r>
    </w:p>
    <w:p w14:paraId="714FE7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（64）Q/GDW161：线路保护及辅助装置标准化设计规范；</w:t>
      </w:r>
    </w:p>
    <w:p w14:paraId="3E7FD2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（65）Q/GDW175：变压器、高压并联电抗器和母线保护及辅助装置标准化设计规范；</w:t>
      </w:r>
    </w:p>
    <w:p w14:paraId="0F9A40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（66）Q/GDW212：电力系统无功补偿配置技术原则；</w:t>
      </w:r>
    </w:p>
    <w:p w14:paraId="094F17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（67）Q/GDW/Z461：地区智能电网调度技术支持系统应用功能规范；</w:t>
      </w:r>
    </w:p>
    <w:p w14:paraId="24C5E85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（68）Q/GDW619：地区电网自动电压控制（AVC）技术规范；</w:t>
      </w:r>
    </w:p>
    <w:p w14:paraId="5DCF40C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（69）南方电网十项反事故措施；</w:t>
      </w:r>
    </w:p>
    <w:p w14:paraId="1B56A4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（70）电监会电力二次系统安全防护总体方案；</w:t>
      </w:r>
    </w:p>
    <w:p w14:paraId="107143F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（71）GB50797：光伏发电站设计规范；</w:t>
      </w:r>
    </w:p>
    <w:p w14:paraId="3FB9526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（72）GB/T19939：光伏系统并网技术要求；</w:t>
      </w:r>
    </w:p>
    <w:p w14:paraId="6435D19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（73）GB/T19964：光伏发电站接入电力系统技术规定；</w:t>
      </w:r>
    </w:p>
    <w:p w14:paraId="2EEEF3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（74）GB/T20046：光伏（PV）系统电网接口特性；</w:t>
      </w:r>
    </w:p>
    <w:p w14:paraId="4F7A46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（75）QX/T 55：地面气象观测规范；</w:t>
      </w:r>
    </w:p>
    <w:p w14:paraId="11DE73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（76）中国气象局地面气象观测规范；</w:t>
      </w:r>
    </w:p>
    <w:p w14:paraId="05948F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（77）其他国家、地方或行业标准规范。</w:t>
      </w:r>
    </w:p>
    <w:p w14:paraId="7F2A4C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4．结构技术标准和要求</w:t>
      </w:r>
    </w:p>
    <w:p w14:paraId="739FB9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4.1 工程范围</w:t>
      </w:r>
    </w:p>
    <w:p w14:paraId="7E3B21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本项目建筑工程包括但不限于：</w:t>
      </w:r>
    </w:p>
    <w:p w14:paraId="590C60F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光伏区：光伏场区场地平整、场区土方平衡、场内道路、箱式变压器基础、组件支架及基础、场区围栏及大门、集电线路施工、全场防雷接地工程、防洪工程、临时取水、取电。</w:t>
      </w:r>
    </w:p>
    <w:p w14:paraId="658428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4.2 标准、规范和抗震措施</w:t>
      </w:r>
    </w:p>
    <w:p w14:paraId="61168BB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（1）《房屋建筑制图统一标准》GB/T50001-2017；</w:t>
      </w:r>
    </w:p>
    <w:p w14:paraId="0B4A2D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（2）《总图制图标准》GB/T50103-2010；</w:t>
      </w:r>
    </w:p>
    <w:p w14:paraId="1EA0348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（3）《建筑制图标准》GB/T50104-2010；</w:t>
      </w:r>
    </w:p>
    <w:p w14:paraId="57B85E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（4）《建筑结构制图标准》GB/T50105-2010；</w:t>
      </w:r>
    </w:p>
    <w:p w14:paraId="428CA8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（5）《民用建筑设计通则》GB50352-2005；</w:t>
      </w:r>
    </w:p>
    <w:p w14:paraId="20E60D4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（6）《建筑地基基础设计规范》GB50007-2011；</w:t>
      </w:r>
    </w:p>
    <w:p w14:paraId="473E6A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（7）《建筑结构可靠度设计统一标准》GB50068-2018；</w:t>
      </w:r>
    </w:p>
    <w:p w14:paraId="7CB08C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（8）《混凝土结构设计规范》GB50010-2010（2015年版）；</w:t>
      </w:r>
    </w:p>
    <w:p w14:paraId="190C8E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（9）《砌体结构设计规范》GB50003-2011；</w:t>
      </w:r>
    </w:p>
    <w:p w14:paraId="601820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（10）《建筑结构荷载规范》GB50009-2012；</w:t>
      </w:r>
    </w:p>
    <w:p w14:paraId="0490FA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（11）《建筑抗震设计规范》GB50011-2010（2016年版）；</w:t>
      </w:r>
    </w:p>
    <w:p w14:paraId="0C38728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（12）《建筑给水排水设计规范》GB50015-2019；</w:t>
      </w:r>
    </w:p>
    <w:p w14:paraId="4F8A1D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（13）《采暖通风与空气调节设计规范》GB50019-2003；</w:t>
      </w:r>
    </w:p>
    <w:p w14:paraId="2C0096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（14）《钢结构焊接规范》GB50661-2011 ；</w:t>
      </w:r>
    </w:p>
    <w:p w14:paraId="73061B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（15）《钢结构设计标准》GB50017-2017；</w:t>
      </w:r>
    </w:p>
    <w:p w14:paraId="583257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（16）《光伏发电站设计规程》GB50797-2012；</w:t>
      </w:r>
    </w:p>
    <w:p w14:paraId="0E9123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（17）《室外给水设计规范》GB50013-2018；</w:t>
      </w:r>
    </w:p>
    <w:p w14:paraId="0B44C7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（18）《建筑给水排水设计标准》GB50015-2019；</w:t>
      </w:r>
    </w:p>
    <w:p w14:paraId="299F74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（19）《公共建筑节能设计标准》GB50189-2015；</w:t>
      </w:r>
    </w:p>
    <w:p w14:paraId="03E948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（20）《混凝土结构耐久性设计规范》GB/T50476-2019；</w:t>
      </w:r>
    </w:p>
    <w:p w14:paraId="1336BE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（21）《工业建筑防腐蚀设计规范》GB50046-2018；</w:t>
      </w:r>
    </w:p>
    <w:p w14:paraId="27A4E21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（22）《混凝土结构工程施工质量验收规范》GB50204-2015；</w:t>
      </w:r>
    </w:p>
    <w:p w14:paraId="1FD715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（23）《钢结构工程施工质量验收规范》GB50205-2020；</w:t>
      </w:r>
    </w:p>
    <w:p w14:paraId="4F852B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（24）《焊接工艺评定规程》DL/T868-2014；</w:t>
      </w:r>
    </w:p>
    <w:p w14:paraId="094AC0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（25）《焊接材料焊接工艺性能评定方法》GB/T 25776-2010；</w:t>
      </w:r>
    </w:p>
    <w:p w14:paraId="5D378A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（26）《钢结构工程质量检验评定标准》GB50221-2001；</w:t>
      </w:r>
    </w:p>
    <w:p w14:paraId="2BFEC1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（27）《钢焊缝手工超声波探伤方法和探伤结果分级》GB11345-2013；</w:t>
      </w:r>
    </w:p>
    <w:p w14:paraId="51EBEF8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（28）《钢熔化焊对接接头射线照相和质量分级规范》GB3323-2005；</w:t>
      </w:r>
    </w:p>
    <w:p w14:paraId="2197B0A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（29）《建筑钢结构焊接技术规程》JGJ81-2002；</w:t>
      </w:r>
    </w:p>
    <w:p w14:paraId="7C1E4D0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（30）《钢结构、管道涂装技术规程》YB/T9256-1996；</w:t>
      </w:r>
    </w:p>
    <w:p w14:paraId="0A3597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（31）《冷弯薄壁型钢结构技术规范》GB50018-2016；</w:t>
      </w:r>
    </w:p>
    <w:p w14:paraId="56982D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（32）《建筑设计防火规范》GB50016-2014（2018年版）；</w:t>
      </w:r>
    </w:p>
    <w:p w14:paraId="221583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（33）《火力发电厂与变电站设计防火规范》GB50229-2019；</w:t>
      </w:r>
    </w:p>
    <w:p w14:paraId="75B20F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（34）《110kV～750kV架空输电线路施工及验收规范》GB50233-2014；</w:t>
      </w:r>
    </w:p>
    <w:p w14:paraId="46E9BD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（35）《220kV～750kV变电站设计技术规程》DL/T5218-2012。</w:t>
      </w:r>
    </w:p>
    <w:p w14:paraId="42795F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上述标准、规范及规程仅是本工程的最基本依据，并未包括实施中所涉及的所有标准、规范和规程，并且所用标准和技术规范均应为合同签订之日为止的最新版本。</w:t>
      </w:r>
    </w:p>
    <w:p w14:paraId="4A0111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4.3 主要建筑物设计基本要求</w:t>
      </w:r>
    </w:p>
    <w:p w14:paraId="7BF5C9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4.3.1 主体结构要求</w:t>
      </w:r>
    </w:p>
    <w:p w14:paraId="7A36A0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（1）设计使用年限：50年</w:t>
      </w:r>
    </w:p>
    <w:p w14:paraId="6DC662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（2）混凝土结构的环境类别：</w:t>
      </w:r>
    </w:p>
    <w:p w14:paraId="2C0D4F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1）一类环境：室内正常环境；</w:t>
      </w:r>
    </w:p>
    <w:p w14:paraId="273E5E8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2）二类或三类环境：基础、露天构件及其他处于潮湿环境部位或冬季地下水位变动环境的基础工程。</w:t>
      </w:r>
    </w:p>
    <w:p w14:paraId="697848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（3）防洪标准：100年；</w:t>
      </w:r>
    </w:p>
    <w:p w14:paraId="204639B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（4）排水设计标准：山洪频率2%。</w:t>
      </w:r>
    </w:p>
    <w:p w14:paraId="637212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4.4光伏支架及基础要求</w:t>
      </w:r>
    </w:p>
    <w:p w14:paraId="54B50CD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4.4.1 厂家要求</w:t>
      </w:r>
    </w:p>
    <w:p w14:paraId="0CB6FA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发包人具有最终选择权。</w:t>
      </w:r>
    </w:p>
    <w:p w14:paraId="0472934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4.4.2 技术要求</w:t>
      </w:r>
    </w:p>
    <w:p w14:paraId="461C93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在支架结构设计需考虑恒载、活荷载和偶然荷载等，其中，横载包括组件重量、支架结构自重；活荷载包括风荷载、雨雪荷载；偶然荷载包括地震荷载。风、雪荷载根据GB50009－2012《建筑结构荷载规范》选取，根据《光伏发电站设计规范》GB50797-2012规范，光伏支架的设计使用年限为25年，安全等级为三级，重要性系数不小于1.0；在抗震设计中，不考虑重要性系数。风荷载、雪荷载和温度荷载可按25年一遇的荷载数值取值，地面支架风荷载体型系数根据《光伏发电站设计规范》GB50797-2012和《光伏支架结构设计规程》NB/T10115-2018选取。荷载组合考虑有、无地震作用情况下，永久荷载、风荷载、雪荷载及温度荷载的组合。另外，支架设计时，应对施工检修荷载进行验算。光伏支架应选用合理材料、结构方案和构造措施，保证结构在运输、安装和使用过程中满足强度、稳定性和刚度要求，满足抗震、抗风和防腐蚀等要求。</w:t>
      </w:r>
    </w:p>
    <w:p w14:paraId="3BFD9A7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支架材料规格不低于Q235B，钢材厚度不低于2.0mm。</w:t>
      </w:r>
    </w:p>
    <w:p w14:paraId="4DB8C4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光伏支架防腐采用热镀锌的防腐方式。</w:t>
      </w:r>
    </w:p>
    <w:p w14:paraId="09AAA8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综合考虑光伏组件的受力特点及施工、运行、维护等因素，支架采用热镀锌支架。</w:t>
      </w:r>
    </w:p>
    <w:p w14:paraId="3779D7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5．电气技术标准和要求</w:t>
      </w:r>
    </w:p>
    <w:p w14:paraId="4FDF96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5.1 工程范围</w:t>
      </w:r>
    </w:p>
    <w:p w14:paraId="583F54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5.1.1 本工程设备采购，包括但不限于：光伏组件、逆变器、支架、箱变、电缆等所有设备及配套设备的采购，以及上述设备的接货、卸车、保管、成品保护、转运、安装、汇线、试验、调试等全部工作，承包人采购的设备要满足合同质量要求和电网并网要求。</w:t>
      </w:r>
    </w:p>
    <w:p w14:paraId="154AA7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5.1.2 本工程所需的材料采购、制作及安装，包括但不限于光纤、电缆槽盒、接地扁钢（铜绞线、接地极等）、标识标牌、电缆沟盖板、厂区围栏和电缆标示桩（符合发包人要求）等工程配套设备设施及其相关的材料。</w:t>
      </w:r>
    </w:p>
    <w:p w14:paraId="39C958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5.2 标准和规范</w:t>
      </w:r>
    </w:p>
    <w:p w14:paraId="29743EC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（1）《工程建设标准强制性条文（电力工程部分）》2011年版；</w:t>
      </w:r>
    </w:p>
    <w:p w14:paraId="2E8267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（2）《电气装置安装工程母线装置施工及验收规范》GB50149-2010；</w:t>
      </w:r>
    </w:p>
    <w:p w14:paraId="1CB125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（3）《电气装置安装工程高压电器施工及验收规范》GB50147－2010；</w:t>
      </w:r>
    </w:p>
    <w:p w14:paraId="5866A1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（4）《电气装置安装工程接地装置施工及验收规范》GB 50169-2006；</w:t>
      </w:r>
    </w:p>
    <w:p w14:paraId="07D97DB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（5）《电气装置安装工程盘柜及二次回路接线施工及验收规范》GB 50171-2012；</w:t>
      </w:r>
    </w:p>
    <w:p w14:paraId="705EC33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（6）《电气装置安装工程蓄电池施工及验收规范》GB 50172－2012；</w:t>
      </w:r>
    </w:p>
    <w:p w14:paraId="1C7A902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（7）《电气装置安装工程电气设备交接试验标准》GB 50150－2006；</w:t>
      </w:r>
    </w:p>
    <w:p w14:paraId="2F0E37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（8）《电气装置安装工程电力变压器、油浸电抗器、互感器施工及验收规范》GB 50148-2010；</w:t>
      </w:r>
    </w:p>
    <w:p w14:paraId="06E9AEB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（9）《电力建设安全工作规程第1部分变电站部分》DL5009.1－2002；</w:t>
      </w:r>
    </w:p>
    <w:p w14:paraId="480691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（10）《110kV－1000kV变电（换流）站土建工程施工质量验收及评定规程》Q/GDW 183-2008；</w:t>
      </w:r>
    </w:p>
    <w:p w14:paraId="77BAA4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（11）《电力建设工程质量监督检查典型大纲（变电站部分）》（电建质监【2009】58号）。</w:t>
      </w:r>
    </w:p>
    <w:p w14:paraId="526A94D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上述标准、规范及规程仅是本工程的最基本依据，并未包括实施中所涉及的所有标准、规范和规程，并且所用标准和技术规范均应为合同签订之日为止的最新版本。</w:t>
      </w:r>
    </w:p>
    <w:p w14:paraId="0D5ED2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5.3逆变器、35kV箱变、电缆分接箱设备安装</w:t>
      </w:r>
    </w:p>
    <w:p w14:paraId="369F62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本工程采用组串式逆变器，户外箱式变压器。组串式逆变器布置在光伏方阵中，就地固定安装在光伏支架上，户外安装。35kV箱式变电站和35kV电缆分接箱就地集中布置于光伏阵列附近。具体安装以施工图为准。</w:t>
      </w:r>
    </w:p>
    <w:p w14:paraId="78D175C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5.3.1高压35kV电力电缆安装</w:t>
      </w:r>
    </w:p>
    <w:p w14:paraId="107365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电缆在安装前应仔细对图纸进行审查、核对，确认到场的电缆规格是否满足设计要求，施工方案中的电缆走向是否合理，电缆是否有交叉现象。</w:t>
      </w:r>
    </w:p>
    <w:p w14:paraId="689651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电缆在安装前，应根据设计资料及具体的施工情况，编制详细的《电缆敷设程序表》，表中应明确规定每根电缆安装的先后顺序。</w:t>
      </w:r>
    </w:p>
    <w:p w14:paraId="1C29A54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电缆的使用规格、安装路径应严格按设计进行。电缆运达现场后，应严格按规格分别存放，严格其领用制度以免混用。电缆敷设时，对所有电缆的长度应做好登记，动力电缆应尽量减少中间接头，控制电缆做到没有中间接头。对电缆容易受损伤的部位，应采取保护措施，对于直埋电缆应每隔一定距离制作标识。电缆敷设完毕后，保证整齐美观，进入盘内的电缆其弯曲弧度应一致，对进入盘内的电缆及其它必须封堵的地方应进行防火封堵，在电缆集中区设有防鼠杀虫剂及灭火设施。</w:t>
      </w:r>
    </w:p>
    <w:p w14:paraId="3FBDAFB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5.3.2光伏场区电缆敷设</w:t>
      </w:r>
    </w:p>
    <w:p w14:paraId="096B75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电缆敷设清册必须由专职技术人员依据设计电缆清册、电缆断面排列图、桥架走向、分层次、分种类进行编制，按照高压电缆、动力电缆、控制电缆、直流电缆、计算机电缆、通讯电缆、检修及照明电缆等顺序进行分册编制，同时依据施工图纸提出各种电缆的需用计划。</w:t>
      </w:r>
    </w:p>
    <w:p w14:paraId="2A1DDC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（2）依据电缆敷设清册编制电缆标示牌，内容描述正确，符合验标的规定，电缆标示牌的分类保管应与电缆敷设清册相对应。</w:t>
      </w:r>
    </w:p>
    <w:p w14:paraId="7C416D0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（3）电缆敷设前，应组织各组负责人熟悉电缆敷设路径，安排电缆转弯、路由层次，避免交叉，安排专人负责起点、终点两端设备的位置确认，提前组织落实充足的劳力计划；安全监护人现场监护到位。</w:t>
      </w:r>
    </w:p>
    <w:p w14:paraId="64A6AA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（4）根据电缆敷设的顺序，从仓库逐一调运电缆盘，并检查每盘电缆的绝缘情况，必须符合规程要求，无绝缘缺陷存在。</w:t>
      </w:r>
    </w:p>
    <w:p w14:paraId="300337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（5）电缆终端头制作接线</w:t>
      </w:r>
    </w:p>
    <w:p w14:paraId="0E41A58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电缆接线端子必须选用与电缆材质、截面相同的材料，使用专用的压接钳工具，选用正确的模具；高压电缆终端材料选用的冷缩式电缆终端，应与电缆的规格一致，高压电缆终端头制作完毕后（两端），必须经过耐压试验合格后，方可接入设备，端子压接牢固，相序正确，电缆标示牌正确。</w:t>
      </w:r>
    </w:p>
    <w:p w14:paraId="4168F1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（6）电缆防火施工</w:t>
      </w:r>
    </w:p>
    <w:p w14:paraId="035BD84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依据施工图纸的要求在电缆工程施工完毕后送电前，使用防火涂料、耐火浇注料、耐火胶泥、防火包等对电器设备的孔洞、电缆沟道进出口，电缆竖井的进出口等部位进行封堵、涂刷，并将设备内部清理干净。</w:t>
      </w:r>
    </w:p>
    <w:p w14:paraId="5831A9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5.3.3 接地装置施工（接地施工单位必须具有相应资质）</w:t>
      </w:r>
    </w:p>
    <w:p w14:paraId="41E67B3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本工程光伏场区接地，采用敷设水平接地网和垂直接地极相结合的复合接地网，以减少土壤接触电阻，降低接地电阻。</w:t>
      </w:r>
    </w:p>
    <w:p w14:paraId="5C7282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光伏阵列根据场区布置形成一个接地网，接地网与光伏组件基础钢筋焊接做接地体，子方阵接地体焊接成网状，各子方阵接地体相互连接。</w:t>
      </w:r>
    </w:p>
    <w:p w14:paraId="6D0461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箱式变电站、逆变器、电缆分接箱的接地网采用在设备四周敷设水平接地体为主，辅以敷设垂直接地极的人工接地网方案，该接地网充分利用土建金属基础钢筋作为自然接地体，接地网外缘闭合，主接地网敷设于地平面0.8m以下土层中。接地网至少2处从不同方向与光伏阵列接地网连成一体。箱式变电站、逆变器内所有电气设备均应可靠接地。</w:t>
      </w:r>
    </w:p>
    <w:p w14:paraId="6B81F0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5.4检查验收项目</w:t>
      </w:r>
    </w:p>
    <w:p w14:paraId="40AFF6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5.4.1 承包人应向发包人提交检查试验计划，经核准后实施，试验计划应规定各项试验的顺序，准备工作及操作步骤，试验过程中各项数据的设计值或其他判断标准。</w:t>
      </w:r>
    </w:p>
    <w:p w14:paraId="1D8CE1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5.4.2 通用检查项目</w:t>
      </w:r>
    </w:p>
    <w:p w14:paraId="4C45E0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（1）设备本体安装位置正确、附件齐全、外表清洁、固定牢靠；</w:t>
      </w:r>
    </w:p>
    <w:p w14:paraId="4B8B244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（2）操作机构、闭锁装置动作灵活，位置指示正确；</w:t>
      </w:r>
    </w:p>
    <w:p w14:paraId="595516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（3）油漆完整，相色标志正确，接地可靠。</w:t>
      </w:r>
    </w:p>
    <w:p w14:paraId="746944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5.4.3 电气试验检查项目</w:t>
      </w:r>
    </w:p>
    <w:p w14:paraId="5A8B89E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本条所列试验项目应按GB50150中相应规定进行，主要的试验项目如下：</w:t>
      </w:r>
    </w:p>
    <w:p w14:paraId="04AD37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（1）油浸电力变压器检查试验项目；</w:t>
      </w:r>
    </w:p>
    <w:p w14:paraId="387ED1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（2）箱式变压器检查项目；</w:t>
      </w:r>
    </w:p>
    <w:p w14:paraId="63E11F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（3）逆变器检查试验项目；</w:t>
      </w:r>
    </w:p>
    <w:p w14:paraId="47349BA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（4）避雷器试验项目；</w:t>
      </w:r>
    </w:p>
    <w:p w14:paraId="3BEB690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（5）电力电缆试验项目；</w:t>
      </w:r>
    </w:p>
    <w:p w14:paraId="1521A97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（6）接地网的测试检查；</w:t>
      </w:r>
    </w:p>
    <w:p w14:paraId="5C771A8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（7）防雷分接箱的测试检查；</w:t>
      </w:r>
    </w:p>
    <w:p w14:paraId="23D99D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（8）监理人根据设备状况和有关技术规范认为有必要进行的项目；</w:t>
      </w:r>
    </w:p>
    <w:p w14:paraId="51D552F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（9）未列出的设备的检验按国家相关规定执行。</w:t>
      </w:r>
    </w:p>
    <w:p w14:paraId="1B8FD5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6．环保措施技术标准和要求</w:t>
      </w:r>
    </w:p>
    <w:p w14:paraId="4208A2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6.1 法规及标准</w:t>
      </w:r>
    </w:p>
    <w:p w14:paraId="1A341A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6.1.1 法律法规</w:t>
      </w:r>
    </w:p>
    <w:p w14:paraId="573B6E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《中华人民共和国水土保持法》；</w:t>
      </w:r>
    </w:p>
    <w:p w14:paraId="1CC9E9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《〈中华人民共和国水土保持法〉实施条例》；</w:t>
      </w:r>
    </w:p>
    <w:p w14:paraId="4ABD92F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《中华人民共和国环境保护法》；</w:t>
      </w:r>
    </w:p>
    <w:p w14:paraId="24583BB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《中华人民共和国水法》；</w:t>
      </w:r>
    </w:p>
    <w:p w14:paraId="318702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《中华人民共和国防洪法》；</w:t>
      </w:r>
    </w:p>
    <w:p w14:paraId="2A0C85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《建设项目环境保护管理条例》；</w:t>
      </w:r>
    </w:p>
    <w:p w14:paraId="2CBADA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《中华人民共和国环境影响评价法》；</w:t>
      </w:r>
    </w:p>
    <w:p w14:paraId="23DB92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《中华人民共和国河道管理条例》。</w:t>
      </w:r>
    </w:p>
    <w:p w14:paraId="5BCD4AC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6.1.2 执行标准</w:t>
      </w:r>
    </w:p>
    <w:p w14:paraId="2892E1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环境空气：《环境空气质量标准》（GB3095）二级标准；</w:t>
      </w:r>
    </w:p>
    <w:p w14:paraId="7F265D2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水体环境：《地表水环境质量标准》（GB3838）中Ⅲ类水质标准；</w:t>
      </w:r>
    </w:p>
    <w:p w14:paraId="21925B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声环境：《声环境质量标准》（GB3096）中II类区标准；</w:t>
      </w:r>
    </w:p>
    <w:p w14:paraId="64EFD6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噪声排放：《工业企业厂界环境噪声排放标准》(GB12348)1类标准；</w:t>
      </w:r>
    </w:p>
    <w:p w14:paraId="3FDBC1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固废物：《中华人民共和国固体废物污染环境防治法》；</w:t>
      </w:r>
    </w:p>
    <w:p w14:paraId="797262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电站施工执行《建筑施工场界环境噪声排放标准》(GB12523)。</w:t>
      </w:r>
    </w:p>
    <w:p w14:paraId="5672F24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6.2 环境保护措施</w:t>
      </w:r>
    </w:p>
    <w:p w14:paraId="1851C9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6.2.1 施工扬尘：为有效控制施工期间的扬尘影响，建设单位拟采取防治措施如下：</w:t>
      </w:r>
    </w:p>
    <w:p w14:paraId="0CDF1F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（1）对施工现场实行合理化管理，砂石料、水泥等统一堆放，采用苫布覆盖；</w:t>
      </w:r>
    </w:p>
    <w:p w14:paraId="601F33B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（2）临时堆土场、散装建筑材料堆场应压实，并严密遮盖；</w:t>
      </w:r>
    </w:p>
    <w:p w14:paraId="16C2B5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（3）建筑垃圾分类堆放并及时清运，运输时应用苫布覆盖，避免沿途遗洒；</w:t>
      </w:r>
    </w:p>
    <w:p w14:paraId="5CD4B6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（4）按设计运输路线组织运输，施工便道采用泥结碎石路面；</w:t>
      </w:r>
    </w:p>
    <w:p w14:paraId="01C1582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5）运输砂石、土壤等易落撒物料，应做好运输过程物料覆盖，防止产生扬尘等污染；进出厂区导致泥土污染公共道路路面，应及时清理，因环保处罚导致的损失由承包人承担；必要时应按照当地环保部门要求，提供清洗运输车辆装置，保证运输车辆不将泥土带至共同道路上，规避环保风险等。</w:t>
      </w:r>
    </w:p>
    <w:p w14:paraId="321B6E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贯彻落实上述措施后，项目施工扬尘不会对周围村庄的环境空气产生明显污染影响。</w:t>
      </w:r>
    </w:p>
    <w:p w14:paraId="62A3EB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6.2.2 施工废水：项目施工过程中产生的废水主要为施工人员正常生活产生的生活污水，全部排入站区的防渗旱厕，由附近村民定期清掏，不外排，不会对当地水环境产生不良影响。</w:t>
      </w:r>
    </w:p>
    <w:p w14:paraId="56A714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6.2.3 施工噪声：根据噪声源预测计算结果与《建筑施工场界环境噪声排放标准》相互对照可知，100m可达到《施工场界噪声限值》要求。本项目施工场区距离最近村庄很远，因此，不会对其声环境产生明显影响。</w:t>
      </w:r>
    </w:p>
    <w:p w14:paraId="1704E42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6.2.4 固体废物：项目施工期产生的固体废物主要为施工人员产生的生活垃圾。施工中产生的弃渣用于回填及场地平整，待施工结束后进行覆土绿化；施工人员产生的生活垃圾经收集后，定期送生活垃圾处置场集中处置。即施工期产生的固体废物全部得到妥善处置，不会对周围环境产生明显影响。</w:t>
      </w:r>
    </w:p>
    <w:p w14:paraId="2217AEA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6.2.5 生态影响：项目建设对区域生态环境影响主要表现在临时占地及施工对土壤的影响、对地表植被的破坏、水土流失、水体扰动等不利影响。工程施工过程中，各单项工程施工开挖前均进行表土清理和保护措施；施工道路减少扰动，进行地表平整，施工结束后临时道路进行植被恢复；在水体中进行施工时，采用先进的施工工艺，尽量减少对水体和水生动物生境的扰动，合理安排工期，避免在汛期和重要水生生物繁殖期进行施工。区域动植物物种均为周边区域常见种，因此项目的建设不会造成生物物种的减少，对野生动物和人工饲养动物的栖息、活动影响较小。</w:t>
      </w:r>
    </w:p>
    <w:p w14:paraId="476620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6.3 生态恢复措施</w:t>
      </w:r>
    </w:p>
    <w:p w14:paraId="0A440B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6.3.1 在施工过程中，为保护项目区的生态环境，项目施工期应进行周密设计，尽量缩短工期，减小施工对周围自然植被、地形地貌及水质等环境的影响。严格执行水土保持措施后，项目区水土流失将得到有效控制，基本实现防治目标。在方案设计水平年末项目区扰动土地整治率、水土流失总治理度、土壤流失控制比、林草植被恢复率、林草覆盖率按环水保编制方案及最终批复执行。通过水土保持综合治理，工程区水土流失得到控制，可以基本实现防治目标。</w:t>
      </w:r>
    </w:p>
    <w:p w14:paraId="271882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6.3.2 视觉及景观：本项目水土保持工程实施后，通过大量栽植灌木、草皮等措施将明显提高其异质化程度，保证项目实施后不会对其生态景观产生明显影响。</w:t>
      </w:r>
    </w:p>
    <w:p w14:paraId="3E9276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7．消防系统技术标准和要求</w:t>
      </w:r>
    </w:p>
    <w:p w14:paraId="218FB1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7.1 工作范围</w:t>
      </w:r>
    </w:p>
    <w:p w14:paraId="3BE5E4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7.1.1 消防工程包括但不限于本项目全部消防工程的施工，包括消防备案，所有消防设备的购置、安装、调试等。消防系统完工后必须经当地消防部门组织验收合格。</w:t>
      </w:r>
    </w:p>
    <w:p w14:paraId="54AA4E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7.1.2 承包人负责完成本工程消防工程报验，并通过消防验收工作。</w:t>
      </w:r>
    </w:p>
    <w:p w14:paraId="2AC2331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7.2 标准及规范（不限于此）：</w:t>
      </w:r>
    </w:p>
    <w:p w14:paraId="4843C4F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（1）《建筑设计防火规范》（GB50016-2014（2018年版））；</w:t>
      </w:r>
    </w:p>
    <w:p w14:paraId="39FD38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（2）《建筑灭火器配置设计规范》（GB50140－2019）；</w:t>
      </w:r>
    </w:p>
    <w:p w14:paraId="52B98C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（3）《电力设备典型消防规程》（DL 5027-2015）。</w:t>
      </w:r>
    </w:p>
    <w:p w14:paraId="4428AE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上述标准、规范及规程仅是本工程的最基本依据，并未包括实施中所涉及的所有标准、规范和规程，并且所用标准和技术规范均应为合同签订之日为止的最新版本。</w:t>
      </w:r>
    </w:p>
    <w:p w14:paraId="6730AAE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7.3 主要设计原则、功能及配置</w:t>
      </w:r>
    </w:p>
    <w:p w14:paraId="1730D3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本工程依据国家有关消防条例、规范进行设计，本着“预防为主、防消结合”的消防工作方针，消防系统的设置以加强自身防范力量为主，立足于自救，同时与消防部门联防，做到“防患于未然”，从积极的方面预防火灾的发生及蔓延。升压站内电气设备较多，消防设计的重点是防止电气火灾。</w:t>
      </w:r>
    </w:p>
    <w:p w14:paraId="3A475D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7.4 建筑物消防</w:t>
      </w:r>
    </w:p>
    <w:p w14:paraId="39B215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7.4.1 设计根据工程建筑布置特点和有关防火规程规定，在整个工程范围内设立完整的消防体系，能有效预防并及时扑灭场内以电气和油品为主的各种初期火灾，保障人员的安全疏散和安全生产。</w:t>
      </w:r>
    </w:p>
    <w:p w14:paraId="3AD4C74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7.4.2其余电气部分消防配置符合消防要求的手提式磷酸铵盐干粉灭火器。</w:t>
      </w:r>
    </w:p>
    <w:p w14:paraId="6DAB6C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7.5 施工消防</w:t>
      </w:r>
    </w:p>
    <w:p w14:paraId="474F692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7.5.1 建筑工程开工前编制施工组织设计、施工现场消防安全措施及消防设施平面图。</w:t>
      </w:r>
    </w:p>
    <w:p w14:paraId="239637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7.5.2 工程施工道路对外有公路相连通，道路宽度大于4m，并有充足的回转场地，场内通道不堆放材料等杂物，可作消防车道及紧急疏散通道。</w:t>
      </w:r>
    </w:p>
    <w:p w14:paraId="4AF056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7.5.3 施工现场设置明显的防火宣传标志。</w:t>
      </w:r>
    </w:p>
    <w:p w14:paraId="69EBBB2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7.5.4 材料加工厂、设备及材料仓库和辅助加工厂等施工现场必须配备消防器材，做到布局、选型合理。要害部位应配备不少于4具灭火器材，要有明显的防火标志，并经常检查、维护、保养，保证灭火器材灵敏有效。</w:t>
      </w:r>
    </w:p>
    <w:p w14:paraId="0471EF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7.5.5 临建区域内，每25m2配备1只磷酸铵盐干粉灭火器。大型临时设施总面积超过1200m2，备有专供消防用的太平桶、蓄水桶（池）、黄砂池等设施。临时木工房、油漆房和木、机具间等每25m2配置一只种类合适的灭火器，油库、危险品仓库应配备足够数量、种类合适的灭火器。消防设施周围不堆放物品，阻塞通道。</w:t>
      </w:r>
    </w:p>
    <w:p w14:paraId="3DDD01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7.5.6 工程临建区域内临时设施建筑包括管理人员办公室、宿舍、食堂等，根据《建筑灭火器配置设计规范》的相关规定，配置手提式磷酸铵盐干粉灭火器。</w:t>
      </w:r>
    </w:p>
    <w:p w14:paraId="4BCA04D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7.5.7 易燃易爆仓库消防：各种易燃易爆原材料不宜集中布置在一起且堆置高度不宜过高，在仓库内需留有巡视通道，同时在仓库内配置5Kg手提式磷酸铵盐干粉灭火器，需定期检查仓库以提前消除安全隐患。易燃易爆仓库与其他建（构）筑物需留有一定的安全距离，方便消防。</w:t>
      </w:r>
    </w:p>
    <w:p w14:paraId="5DC805E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7.5.8 组织施工现场的义务消防队员，定期组织教育培训及演练。</w:t>
      </w:r>
    </w:p>
    <w:p w14:paraId="3978B8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8.设备技术要求</w:t>
      </w:r>
    </w:p>
    <w:p w14:paraId="28E9EE4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default" w:ascii="Calibri" w:hAnsi="Calibri" w:cs="Calibri"/>
          <w:color w:val="000000"/>
          <w:sz w:val="24"/>
          <w:szCs w:val="24"/>
        </w:rPr>
        <w:t>光伏设备的技术要求，由承包人提供发包人确认。</w:t>
      </w:r>
    </w:p>
    <w:p w14:paraId="571DBB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br w:type="page"/>
      </w:r>
      <w:r>
        <w:rPr>
          <w:rFonts w:hint="default" w:ascii="Calibri" w:hAnsi="Calibri" w:cs="Calibri"/>
          <w:color w:val="000000"/>
          <w:sz w:val="24"/>
          <w:szCs w:val="24"/>
        </w:rPr>
        <w:t> </w:t>
      </w:r>
    </w:p>
    <w:p w14:paraId="5D9382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Calibri" w:hAnsi="Calibri" w:cs="Calibri"/>
          <w:color w:val="000000"/>
          <w:sz w:val="24"/>
          <w:szCs w:val="24"/>
        </w:rPr>
        <w:br w:type="page"/>
      </w:r>
      <w:r>
        <w:rPr>
          <w:rFonts w:hint="default" w:ascii="Calibri" w:hAnsi="Calibri" w:cs="Calibri"/>
          <w:color w:val="000000"/>
          <w:sz w:val="24"/>
          <w:szCs w:val="24"/>
        </w:rPr>
        <w:t> </w:t>
      </w:r>
      <w:bookmarkStart w:id="1079" w:name="_Toc79760521"/>
      <w:bookmarkStart w:id="1080" w:name="_Toc22866"/>
      <w:bookmarkStart w:id="1081" w:name="_Toc67789104"/>
      <w:bookmarkStart w:id="1082" w:name="_Toc19464"/>
      <w:bookmarkStart w:id="1083" w:name="_Toc67"/>
      <w:bookmarkStart w:id="1084" w:name="_Toc2599"/>
      <w:r>
        <w:rPr>
          <w:rFonts w:hint="eastAsia" w:ascii="黑体" w:hAnsi="宋体" w:eastAsia="黑体" w:cs="黑体"/>
          <w:color w:val="000000"/>
          <w:sz w:val="28"/>
          <w:szCs w:val="28"/>
        </w:rPr>
        <w:t>技术文件附件一：工程范围划分</w:t>
      </w:r>
      <w:bookmarkEnd w:id="1079"/>
      <w:bookmarkEnd w:id="1080"/>
      <w:bookmarkEnd w:id="1081"/>
      <w:bookmarkEnd w:id="1082"/>
      <w:bookmarkEnd w:id="1083"/>
      <w:bookmarkEnd w:id="1084"/>
    </w:p>
    <w:p w14:paraId="2C31A4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见合同协议书。</w:t>
      </w:r>
    </w:p>
    <w:p w14:paraId="6FC7D3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1E6EDD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Calibri" w:hAnsi="Calibri" w:cs="Calibri"/>
          <w:color w:val="000000"/>
          <w:sz w:val="24"/>
          <w:szCs w:val="24"/>
        </w:rPr>
        <w:br w:type="page"/>
      </w:r>
      <w:r>
        <w:rPr>
          <w:rFonts w:hint="default" w:ascii="Calibri" w:hAnsi="Calibri" w:cs="Calibri"/>
          <w:color w:val="000000"/>
          <w:sz w:val="24"/>
          <w:szCs w:val="24"/>
        </w:rPr>
        <w:t> </w:t>
      </w:r>
      <w:bookmarkStart w:id="1085" w:name="_Toc67789105"/>
      <w:bookmarkStart w:id="1086" w:name="_Toc14571"/>
      <w:bookmarkStart w:id="1087" w:name="_Toc9444"/>
      <w:bookmarkStart w:id="1088" w:name="_Toc29834"/>
      <w:bookmarkStart w:id="1089" w:name="_Toc24594"/>
      <w:bookmarkStart w:id="1090" w:name="_Toc79760522"/>
      <w:r>
        <w:rPr>
          <w:rFonts w:hint="eastAsia" w:ascii="黑体" w:hAnsi="宋体" w:eastAsia="黑体" w:cs="黑体"/>
          <w:color w:val="000000"/>
          <w:sz w:val="28"/>
          <w:szCs w:val="28"/>
        </w:rPr>
        <w:t>技术文件附件二：质量保证、检验/验收规范及维护</w:t>
      </w:r>
      <w:bookmarkEnd w:id="1085"/>
      <w:bookmarkEnd w:id="1086"/>
      <w:bookmarkEnd w:id="1087"/>
      <w:bookmarkEnd w:id="1088"/>
      <w:bookmarkEnd w:id="1089"/>
      <w:bookmarkEnd w:id="1090"/>
    </w:p>
    <w:p w14:paraId="3C09516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8728"/>
        </w:tabs>
        <w:spacing w:before="0" w:beforeAutospacing="0" w:after="0" w:afterAutospacing="0" w:line="360" w:lineRule="auto"/>
        <w:ind w:left="0" w:firstLine="551"/>
        <w:jc w:val="center"/>
      </w:pPr>
      <w:r>
        <w:rPr>
          <w:rFonts w:hint="default" w:ascii="Calibri" w:hAnsi="Calibri" w:cs="Calibri"/>
          <w:color w:val="000000"/>
          <w:sz w:val="28"/>
          <w:szCs w:val="28"/>
        </w:rPr>
        <w:t>质量保证、检验/验收规范及维护</w:t>
      </w:r>
    </w:p>
    <w:p w14:paraId="43B5CB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91" w:name="_Toc79760523"/>
      <w:r>
        <w:rPr>
          <w:rFonts w:hint="default" w:ascii="Calibri" w:hAnsi="Calibri" w:cs="Calibri"/>
          <w:color w:val="000000"/>
          <w:sz w:val="24"/>
          <w:szCs w:val="24"/>
        </w:rPr>
        <w:t>1．概述</w:t>
      </w:r>
      <w:bookmarkEnd w:id="1091"/>
    </w:p>
    <w:p w14:paraId="02992F1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1.1本条款用于合同执行期间对供方所提供的设备（包括外购设备）进行检验和性能验收试验，确保供方所提供的设备符合技术协议的要求。</w:t>
      </w:r>
    </w:p>
    <w:p w14:paraId="72E9525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1.2供方应在合同生效后按需方的要求及时提供与合同设备有关的监造和检验标准。这些标准应符合技术协议的规定。</w:t>
      </w:r>
    </w:p>
    <w:p w14:paraId="00FEC0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1.3供方向采购人保证所供设备是技术先进成熟可靠的全新产品。在图纸设计和材料选择方面准确无误，加工工艺无任何缺陷和差错。技术文件及图纸清晰、正确、完整，能满足正常运行和维护的要求。</w:t>
      </w:r>
    </w:p>
    <w:p w14:paraId="7433A04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1.4供方具备有效方法、控制所有外协、外购件的质量和服务，使其符合本规范的要求。</w:t>
      </w:r>
    </w:p>
    <w:p w14:paraId="6095AE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1.5需方有权派代表到供方制造工厂和分包及外购件工厂检查制造过程，检查按合同交付的货物质量，检查按合同交付的元件、组件及使用材料是否符合标准及其合同上规定的要求，并参加合同规定由供方进行的一些元件试验和整个装配件的试验。供方提供给采购人代表相关技术文件及图纸查阅，并提供试验及检验所必需的仪器工具、办公用具。</w:t>
      </w:r>
    </w:p>
    <w:p w14:paraId="6DE327D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1.6如在运行期间发现部件的缺陷、损坏情况，在证实设备储存安装、维护和运行都符合要求时，供方应尽快免费更换。</w:t>
      </w:r>
    </w:p>
    <w:p w14:paraId="2CCEC5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1.7在质量保证期内，供方产品各部件因制造不良或设计不当而发生损坏或未能达到合同规定的各项指标时，供方应无偿地为业主修理或更换部件，直至改进设备结构并无偿供货。</w:t>
      </w:r>
    </w:p>
    <w:p w14:paraId="6CC1C6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1.8设备在验收试验时达不到合同规定的一个或多个技术指标保证值而属于供方责任时，供方应自费采用有效措施在商定的时间内，使之达到保证指标。</w:t>
      </w:r>
    </w:p>
    <w:p w14:paraId="74F2F8F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2．工厂检验</w:t>
      </w:r>
    </w:p>
    <w:p w14:paraId="650350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承包人生产工厂必须通过GB/T19001-2008idtISO9001:2008《质量管理体系要求》标准认证。供方需严格进行厂内各生产环节的检验和试验。供方提供的合同设备须签发质量证明、检验记录和测试报告，并且作为交货时质量证明文件的组成部分。</w:t>
      </w:r>
    </w:p>
    <w:p w14:paraId="311E87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检查的范围包括：原材料和元器件的进厂，部件的加工、组装、试验和出厂试验。供方检验的结果要满足技术协议的要求，如有不符之处或达不到标准要求，供方要采取措施直至满足要求，同时向需方提交不一致性报告。供方发生重大质量问题时应将情况及时通知需方。</w:t>
      </w:r>
    </w:p>
    <w:p w14:paraId="222FCBF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2.3工厂检验的所有费用包括在合同设备总价中。</w:t>
      </w:r>
    </w:p>
    <w:p w14:paraId="496273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3．性能验收试验</w:t>
      </w:r>
    </w:p>
    <w:p w14:paraId="21EA74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3.1性能验收试验的目的是检验合同设备的所有性能是否符合技术规范的要求。</w:t>
      </w:r>
    </w:p>
    <w:p w14:paraId="511D0E1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3.2性能验收试验的地点为需方现场。设备到达安装现场后，供、需双方按商定的开箱检验方法，对照装箱清单逐件清点，进行检查和验收。</w:t>
      </w:r>
    </w:p>
    <w:p w14:paraId="42C7D1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3.3性能试验的时间：具体试验时间由供需双方协商确定。</w:t>
      </w:r>
    </w:p>
    <w:p w14:paraId="772CB6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3.4性能验收试验由需方组织，供方参加。试验大纲由供方提供，与需方讨论后确定。</w:t>
      </w:r>
    </w:p>
    <w:p w14:paraId="5A81B2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3.5性能验收试验的标准和方法：由供方提供详细资料清单，需方确认。</w:t>
      </w:r>
    </w:p>
    <w:p w14:paraId="7A5757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3.6性能验收试验所需的仪器或器材及其装置应由供方提供（需经第三方检验认可），需方参加配合。供方也要提供试验所需的技术配合和人员配合。</w:t>
      </w:r>
    </w:p>
    <w:p w14:paraId="6B970B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3.7性能验收试验的费用：本节和供方试验的配合等费用已在投标总价内。</w:t>
      </w:r>
    </w:p>
    <w:p w14:paraId="781D0B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3.8性能验收试验结果的确认：性能验收试验报告以需方为主编写，供方参加，共同签章确认结论。如双方对试验的结果有不一致意见，双方协商解决。</w:t>
      </w:r>
    </w:p>
    <w:p w14:paraId="78D50A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3.9进行性能验收试验时，一方接到另一方试验通知而不派人参加试验，则被视为对验收试验结果的同意，并进行确认签字盖章。</w:t>
      </w:r>
    </w:p>
    <w:p w14:paraId="380A98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3.10由供方外包生产的设备（部件）到达安装现场后，仍由需方会同供方进行检查和验收。</w:t>
      </w:r>
    </w:p>
    <w:p w14:paraId="5FAD84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3.11主要的产品验收标准：国家强制性相关标准或企标，企标与国标矛盾时，按高者执行。</w:t>
      </w:r>
    </w:p>
    <w:p w14:paraId="637E03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3.12发电系统效率保证</w:t>
      </w:r>
    </w:p>
    <w:p w14:paraId="095DA0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供货的控制系统应能自动计算实时发电效率（发电效率定义详见本章附件十一），并对整个发电系统的设备进行适当选择与匹配，以确保发电系统效率。光伏组件性能试验（试运行）期间，承包人应确保发电系统效率不低于80.4％，投运后质保期内每次清洗电池板后240小时内，承包人应确保发电系统效率不低于80.4％，极端天气情况除外，或按《光伏发电工程验收规范》（GB/T50796-2012）、GB/T39854-2021《光伏发电站性能评估技术规范》和GB/T39857-2021《光伏发电效率技术规范》执行。</w:t>
      </w:r>
    </w:p>
    <w:p w14:paraId="7E4E291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3.13质量保证期内的设备可利用率的考核</w:t>
      </w:r>
    </w:p>
    <w:p w14:paraId="44434F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在质保期内，对每变电中心所配合同设备每个完整年的可利用率（可利用率计算方法见本章附件十一）进行考核。单个变电中心设备年平均可利用率考核指标为：从出具预验收证书之日起的24个月内，光伏发电站每年平均可利用率≥95％，单个变电中心可利用率≥92％。</w:t>
      </w:r>
    </w:p>
    <w:p w14:paraId="5F5415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若卖方在投标文件中承诺的光伏发电系统可利用率高于上述标准时，以承诺的可利用率为准。</w:t>
      </w:r>
    </w:p>
    <w:p w14:paraId="338957F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92" w:name="_Toc79760524"/>
      <w:r>
        <w:rPr>
          <w:rFonts w:hint="default" w:ascii="Calibri" w:hAnsi="Calibri" w:cs="Calibri"/>
          <w:color w:val="000000"/>
          <w:sz w:val="24"/>
          <w:szCs w:val="24"/>
        </w:rPr>
        <w:t>4．发电系统维护</w:t>
      </w:r>
      <w:bookmarkEnd w:id="1092"/>
    </w:p>
    <w:p w14:paraId="2472B1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针对本次招标范围内的发电系统，质保期后承包人应为发包人提供为期1年的运行维修服务，运行维修服务不在此次招标的范围之内，承包人可进行报价，运行维护合同另行签订。</w:t>
      </w:r>
    </w:p>
    <w:p w14:paraId="4FC3D1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06658C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Calibri" w:hAnsi="Calibri" w:cs="Calibri"/>
          <w:color w:val="000000"/>
          <w:sz w:val="30"/>
          <w:szCs w:val="30"/>
        </w:rPr>
        <w:br w:type="page"/>
      </w:r>
      <w:r>
        <w:rPr>
          <w:rFonts w:hint="default" w:ascii="Calibri" w:hAnsi="Calibri" w:cs="Calibri"/>
          <w:color w:val="000000"/>
          <w:sz w:val="30"/>
          <w:szCs w:val="30"/>
        </w:rPr>
        <w:t> </w:t>
      </w:r>
      <w:bookmarkStart w:id="1093" w:name="_Toc8047"/>
      <w:bookmarkStart w:id="1094" w:name="_Toc79760525"/>
      <w:bookmarkStart w:id="1095" w:name="_Toc67789106"/>
      <w:bookmarkStart w:id="1096" w:name="_Toc21437"/>
      <w:bookmarkStart w:id="1097" w:name="_Toc18840"/>
      <w:bookmarkStart w:id="1098" w:name="_Toc16081"/>
      <w:r>
        <w:rPr>
          <w:rFonts w:hint="eastAsia" w:ascii="黑体" w:hAnsi="宋体" w:eastAsia="黑体" w:cs="黑体"/>
          <w:color w:val="000000"/>
          <w:sz w:val="28"/>
          <w:szCs w:val="28"/>
        </w:rPr>
        <w:t>技术文件附件三：设备、技术文件及图纸的交付</w:t>
      </w:r>
      <w:bookmarkEnd w:id="1093"/>
      <w:bookmarkEnd w:id="1094"/>
      <w:bookmarkEnd w:id="1095"/>
      <w:bookmarkEnd w:id="1096"/>
      <w:bookmarkEnd w:id="1097"/>
      <w:bookmarkEnd w:id="1098"/>
    </w:p>
    <w:p w14:paraId="166A006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r>
        <w:rPr>
          <w:rFonts w:hint="default" w:ascii="Calibri" w:hAnsi="Calibri" w:cs="Calibri"/>
          <w:color w:val="000000"/>
          <w:sz w:val="28"/>
          <w:szCs w:val="28"/>
        </w:rPr>
        <w:t>设备、技术文件及图纸的交付</w:t>
      </w:r>
    </w:p>
    <w:p w14:paraId="0A87A8F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099" w:name="_Toc79760526"/>
      <w:r>
        <w:rPr>
          <w:rFonts w:hint="default" w:ascii="Calibri" w:hAnsi="Calibri" w:cs="Calibri"/>
          <w:color w:val="000000"/>
          <w:sz w:val="24"/>
          <w:szCs w:val="24"/>
        </w:rPr>
        <w:t>1．文件的交付</w:t>
      </w:r>
      <w:bookmarkEnd w:id="1099"/>
    </w:p>
    <w:p w14:paraId="0D5817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承包人尽快安排相关设备招标。并分期分批向招标方、设计方提供设备详图及资料4套。</w:t>
      </w:r>
    </w:p>
    <w:p w14:paraId="0645EB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00" w:name="_Toc79760527"/>
      <w:r>
        <w:rPr>
          <w:rFonts w:hint="default" w:ascii="Calibri" w:hAnsi="Calibri" w:cs="Calibri"/>
          <w:color w:val="000000"/>
          <w:sz w:val="24"/>
          <w:szCs w:val="24"/>
        </w:rPr>
        <w:t>2．竣工文件</w:t>
      </w:r>
      <w:bookmarkEnd w:id="1100"/>
    </w:p>
    <w:p w14:paraId="3FEAC1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承包人应编制并随时更新一套完整的、有关工程施工情况的“竣工”记录，如实记载竣工工程的准确位置、尺寸、调试试验资料和实施工作的详细说明。上述竣工记录应保存在现场，并仅限用于本款的目的。应在竣工试验开始前，提交两套副本分别提交监理工程师及发包人代表。</w:t>
      </w:r>
    </w:p>
    <w:p w14:paraId="07E035A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2.2承包人应负责绘制并向发包人代表提供工程的竣工图，表明整个工程的施工完毕的实际情况，提交监理工程师根据规定进行审核。承包人应取得发包人代表对它们的尺寸、基准系统及其他相关细节的同意。</w:t>
      </w:r>
    </w:p>
    <w:p w14:paraId="35CDEF6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2.3在签发任何保修证书前，承包人应按照“发包人要求”中规定的份数和复制形式，向发包人提交上述相关的竣工图。</w:t>
      </w:r>
    </w:p>
    <w:p w14:paraId="4808B5B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合同工程最后一份保修证书签发后，承包人负责组织编制竣工图或委托其他单位编制竣工图，在达标投产考核前向发包人提交6套整个工程竣工图纸及竣工资料，电子版（U盘）2套，工程建设期间影像资料2套（光盘）。该图纸及资料应是符合现场实际、完善、正确无误的竣工文件。</w:t>
      </w:r>
    </w:p>
    <w:p w14:paraId="3D07818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3．操作维修手册</w:t>
      </w:r>
    </w:p>
    <w:p w14:paraId="67C86B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在竣工试验开始15天前，承包人应向发包人代表提供操作维修手册5套，电子版（U盘）2套，上述操作维修手册的详细程度，应能满足发包人操作、维修、拆卸、重新组装、调整、培训和修复生产设备的需要。</w:t>
      </w:r>
    </w:p>
    <w:p w14:paraId="672D86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0D4FC1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Calibri" w:hAnsi="Calibri" w:cs="Calibri"/>
          <w:color w:val="000000"/>
          <w:sz w:val="24"/>
          <w:szCs w:val="24"/>
        </w:rPr>
        <w:br w:type="page"/>
      </w:r>
      <w:r>
        <w:rPr>
          <w:rFonts w:hint="default" w:ascii="Calibri" w:hAnsi="Calibri" w:cs="Calibri"/>
          <w:color w:val="000000"/>
          <w:sz w:val="24"/>
          <w:szCs w:val="24"/>
        </w:rPr>
        <w:t> </w:t>
      </w:r>
      <w:bookmarkStart w:id="1101" w:name="_Toc19006"/>
      <w:bookmarkStart w:id="1102" w:name="_Toc25198"/>
      <w:bookmarkStart w:id="1103" w:name="_Toc24911"/>
      <w:bookmarkStart w:id="1104" w:name="_Toc22532"/>
      <w:bookmarkStart w:id="1105" w:name="_Toc79760528"/>
      <w:bookmarkStart w:id="1106" w:name="_Toc67789107"/>
      <w:r>
        <w:rPr>
          <w:rFonts w:hint="eastAsia" w:ascii="黑体" w:hAnsi="宋体" w:eastAsia="黑体" w:cs="黑体"/>
          <w:color w:val="000000"/>
          <w:sz w:val="28"/>
          <w:szCs w:val="28"/>
        </w:rPr>
        <w:t>技术文件附件</w:t>
      </w:r>
      <w:r>
        <w:rPr>
          <w:rFonts w:hint="default" w:ascii="Calibri" w:hAnsi="Calibri" w:cs="Calibri"/>
          <w:color w:val="000000"/>
          <w:sz w:val="28"/>
          <w:szCs w:val="28"/>
        </w:rPr>
        <w:t>四：设备监造和性能验收试验</w:t>
      </w:r>
      <w:bookmarkEnd w:id="1101"/>
      <w:bookmarkEnd w:id="1102"/>
      <w:bookmarkEnd w:id="1103"/>
      <w:bookmarkEnd w:id="1104"/>
      <w:bookmarkEnd w:id="1105"/>
      <w:bookmarkEnd w:id="1106"/>
    </w:p>
    <w:p w14:paraId="28BF426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r>
        <w:rPr>
          <w:rFonts w:hint="default" w:ascii="Calibri" w:hAnsi="Calibri" w:cs="Calibri"/>
          <w:color w:val="000000"/>
          <w:sz w:val="28"/>
          <w:szCs w:val="28"/>
        </w:rPr>
        <w:t>设备监造和性能验收试验</w:t>
      </w:r>
    </w:p>
    <w:p w14:paraId="20CE9EC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07" w:name="_Toc79760529"/>
      <w:r>
        <w:rPr>
          <w:rFonts w:hint="default" w:ascii="Calibri" w:hAnsi="Calibri" w:cs="Calibri"/>
          <w:color w:val="000000"/>
          <w:sz w:val="24"/>
          <w:szCs w:val="24"/>
        </w:rPr>
        <w:t>1．监造与检验</w:t>
      </w:r>
      <w:bookmarkEnd w:id="1107"/>
    </w:p>
    <w:p w14:paraId="389AA43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在合同规定要提供的所有主要设备、主要辅助设备和关键材料的制造、加工和准备过程中，不论工作地在何处，发包人均可委托有乙级及以上监造资质和业绩的监造单位，对太阳能电池组件、逆变噐、高低压开关柜、箱变、主变等设备进行监造。</w:t>
      </w:r>
    </w:p>
    <w:p w14:paraId="69ED60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发包人和监造单位签订监造服务合同后，在监造工作开展前，监造单位应与承包人按本合同细化监造内容和计划，质量见证项目应不少于《电力设备监造技术导则》和本合同的要求，然后报发包人认可。承包人按下列格式提出如主变压器等的质量见证项目，发包人确认。</w:t>
      </w:r>
    </w:p>
    <w:p w14:paraId="653F27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9"/>
        <w:jc w:val="center"/>
      </w:pPr>
      <w:r>
        <w:rPr>
          <w:rFonts w:hint="default" w:ascii="Calibri" w:hAnsi="Calibri" w:cs="Calibri"/>
          <w:b/>
          <w:bCs/>
          <w:color w:val="000000"/>
          <w:sz w:val="24"/>
          <w:szCs w:val="24"/>
        </w:rPr>
        <w:t>表7.附四-1质量见证</w:t>
      </w:r>
    </w:p>
    <w:tbl>
      <w:tblPr>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autofit"/>
        <w:tblCellMar>
          <w:top w:w="0" w:type="dxa"/>
          <w:left w:w="28" w:type="dxa"/>
          <w:bottom w:w="0" w:type="dxa"/>
          <w:right w:w="28" w:type="dxa"/>
        </w:tblCellMar>
      </w:tblPr>
      <w:tblGrid>
        <w:gridCol w:w="863"/>
        <w:gridCol w:w="1736"/>
        <w:gridCol w:w="2584"/>
        <w:gridCol w:w="846"/>
        <w:gridCol w:w="846"/>
        <w:gridCol w:w="846"/>
        <w:gridCol w:w="861"/>
      </w:tblGrid>
      <w:tr w14:paraId="6729A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51" w:type="dxa"/>
            <w:vMerge w:val="restart"/>
            <w:tcBorders>
              <w:top w:val="single" w:color="000000" w:sz="12" w:space="0"/>
              <w:left w:val="single" w:color="000000" w:sz="12" w:space="0"/>
              <w:bottom w:val="single" w:color="000000" w:sz="4" w:space="0"/>
              <w:right w:val="single" w:color="000000" w:sz="6" w:space="0"/>
            </w:tcBorders>
            <w:shd w:val="clear"/>
            <w:tcMar>
              <w:left w:w="108" w:type="dxa"/>
              <w:right w:w="108" w:type="dxa"/>
            </w:tcMar>
            <w:vAlign w:val="center"/>
          </w:tcPr>
          <w:p w14:paraId="2AD94C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Calibri" w:hAnsi="Calibri" w:cs="Calibri"/>
                <w:color w:val="000000"/>
                <w:sz w:val="24"/>
                <w:szCs w:val="24"/>
                <w:bdr w:val="none" w:color="auto" w:sz="0" w:space="0"/>
              </w:rPr>
              <w:t>序号</w:t>
            </w:r>
          </w:p>
        </w:tc>
        <w:tc>
          <w:tcPr>
            <w:tcW w:w="1842" w:type="dxa"/>
            <w:vMerge w:val="restart"/>
            <w:tcBorders>
              <w:top w:val="single" w:color="000000" w:sz="12" w:space="0"/>
              <w:left w:val="single" w:color="000000" w:sz="6" w:space="0"/>
              <w:bottom w:val="single" w:color="000000" w:sz="4" w:space="0"/>
              <w:right w:val="single" w:color="000000" w:sz="6" w:space="0"/>
            </w:tcBorders>
            <w:shd w:val="clear"/>
            <w:tcMar>
              <w:left w:w="108" w:type="dxa"/>
              <w:right w:w="108" w:type="dxa"/>
            </w:tcMar>
            <w:vAlign w:val="center"/>
          </w:tcPr>
          <w:p w14:paraId="501AA9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零部件及工序名称</w:t>
            </w:r>
          </w:p>
        </w:tc>
        <w:tc>
          <w:tcPr>
            <w:tcW w:w="2794" w:type="dxa"/>
            <w:vMerge w:val="restart"/>
            <w:tcBorders>
              <w:top w:val="single" w:color="000000" w:sz="12" w:space="0"/>
              <w:left w:val="single" w:color="000000" w:sz="6" w:space="0"/>
              <w:bottom w:val="single" w:color="000000" w:sz="4" w:space="0"/>
              <w:right w:val="single" w:color="000000" w:sz="6" w:space="0"/>
            </w:tcBorders>
            <w:shd w:val="clear"/>
            <w:tcMar>
              <w:left w:w="108" w:type="dxa"/>
              <w:right w:w="108" w:type="dxa"/>
            </w:tcMar>
            <w:vAlign w:val="center"/>
          </w:tcPr>
          <w:p w14:paraId="4F0F4C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监造内容</w:t>
            </w:r>
          </w:p>
        </w:tc>
        <w:tc>
          <w:tcPr>
            <w:tcW w:w="2765" w:type="dxa"/>
            <w:gridSpan w:val="4"/>
            <w:tcBorders>
              <w:top w:val="single" w:color="000000" w:sz="12" w:space="0"/>
              <w:left w:val="single" w:color="000000" w:sz="6" w:space="0"/>
              <w:bottom w:val="single" w:color="000000" w:sz="6" w:space="0"/>
              <w:right w:val="single" w:color="000000" w:sz="12" w:space="0"/>
            </w:tcBorders>
            <w:shd w:val="clear"/>
            <w:tcMar>
              <w:left w:w="108" w:type="dxa"/>
              <w:right w:w="108" w:type="dxa"/>
            </w:tcMar>
            <w:vAlign w:val="center"/>
          </w:tcPr>
          <w:p w14:paraId="1CD5287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监造方式</w:t>
            </w:r>
          </w:p>
        </w:tc>
      </w:tr>
      <w:tr w14:paraId="164E7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51" w:type="dxa"/>
            <w:vMerge w:val="continue"/>
            <w:tcBorders>
              <w:top w:val="single" w:color="000000" w:sz="12" w:space="0"/>
              <w:left w:val="single" w:color="000000" w:sz="12" w:space="0"/>
              <w:bottom w:val="single" w:color="000000" w:sz="4" w:space="0"/>
              <w:right w:val="single" w:color="000000" w:sz="6" w:space="0"/>
            </w:tcBorders>
            <w:shd w:val="clear"/>
            <w:tcMar>
              <w:left w:w="108" w:type="dxa"/>
              <w:right w:w="108" w:type="dxa"/>
            </w:tcMar>
            <w:vAlign w:val="center"/>
          </w:tcPr>
          <w:p w14:paraId="0953260E">
            <w:pPr>
              <w:rPr>
                <w:rFonts w:hint="eastAsia" w:ascii="宋体"/>
                <w:sz w:val="24"/>
                <w:szCs w:val="24"/>
              </w:rPr>
            </w:pPr>
          </w:p>
        </w:tc>
        <w:tc>
          <w:tcPr>
            <w:tcW w:w="1842" w:type="dxa"/>
            <w:vMerge w:val="continue"/>
            <w:tcBorders>
              <w:top w:val="single" w:color="000000" w:sz="12" w:space="0"/>
              <w:left w:val="single" w:color="000000" w:sz="6" w:space="0"/>
              <w:bottom w:val="single" w:color="000000" w:sz="4" w:space="0"/>
              <w:right w:val="single" w:color="000000" w:sz="6" w:space="0"/>
            </w:tcBorders>
            <w:shd w:val="clear"/>
            <w:tcMar>
              <w:left w:w="108" w:type="dxa"/>
              <w:right w:w="108" w:type="dxa"/>
            </w:tcMar>
            <w:vAlign w:val="center"/>
          </w:tcPr>
          <w:p w14:paraId="02987F2D">
            <w:pPr>
              <w:rPr>
                <w:rFonts w:hint="eastAsia" w:ascii="宋体"/>
                <w:sz w:val="24"/>
                <w:szCs w:val="24"/>
              </w:rPr>
            </w:pPr>
          </w:p>
        </w:tc>
        <w:tc>
          <w:tcPr>
            <w:tcW w:w="2794" w:type="dxa"/>
            <w:vMerge w:val="continue"/>
            <w:tcBorders>
              <w:top w:val="single" w:color="000000" w:sz="12" w:space="0"/>
              <w:left w:val="single" w:color="000000" w:sz="6" w:space="0"/>
              <w:bottom w:val="single" w:color="000000" w:sz="4" w:space="0"/>
              <w:right w:val="single" w:color="000000" w:sz="6" w:space="0"/>
            </w:tcBorders>
            <w:shd w:val="clear"/>
            <w:tcMar>
              <w:left w:w="108" w:type="dxa"/>
              <w:right w:w="108" w:type="dxa"/>
            </w:tcMar>
            <w:vAlign w:val="center"/>
          </w:tcPr>
          <w:p w14:paraId="7D6DD21A">
            <w:pPr>
              <w:rPr>
                <w:rFonts w:hint="eastAsia" w:ascii="宋体"/>
                <w:sz w:val="24"/>
                <w:szCs w:val="24"/>
              </w:rPr>
            </w:pPr>
          </w:p>
        </w:tc>
        <w:tc>
          <w:tcPr>
            <w:tcW w:w="540" w:type="dxa"/>
            <w:tcBorders>
              <w:top w:val="single" w:color="000000" w:sz="6" w:space="0"/>
              <w:left w:val="single" w:color="000000" w:sz="6" w:space="0"/>
              <w:bottom w:val="single" w:color="000000" w:sz="4" w:space="0"/>
              <w:right w:val="single" w:color="000000" w:sz="6" w:space="0"/>
            </w:tcBorders>
            <w:shd w:val="clear"/>
            <w:tcMar>
              <w:left w:w="108" w:type="dxa"/>
              <w:right w:w="108" w:type="dxa"/>
            </w:tcMar>
            <w:vAlign w:val="center"/>
          </w:tcPr>
          <w:p w14:paraId="508456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Calibri" w:hAnsi="Calibri" w:cs="Calibri"/>
                <w:color w:val="000000"/>
                <w:sz w:val="24"/>
                <w:szCs w:val="24"/>
                <w:bdr w:val="none" w:color="auto" w:sz="0" w:space="0"/>
              </w:rPr>
              <w:t>H</w:t>
            </w:r>
          </w:p>
        </w:tc>
        <w:tc>
          <w:tcPr>
            <w:tcW w:w="720" w:type="dxa"/>
            <w:tcBorders>
              <w:top w:val="single" w:color="000000" w:sz="6" w:space="0"/>
              <w:left w:val="single" w:color="000000" w:sz="6" w:space="0"/>
              <w:bottom w:val="single" w:color="000000" w:sz="4" w:space="0"/>
              <w:right w:val="single" w:color="000000" w:sz="6" w:space="0"/>
            </w:tcBorders>
            <w:shd w:val="clear"/>
            <w:tcMar>
              <w:left w:w="108" w:type="dxa"/>
              <w:right w:w="108" w:type="dxa"/>
            </w:tcMar>
            <w:vAlign w:val="center"/>
          </w:tcPr>
          <w:p w14:paraId="12C861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99"/>
              <w:jc w:val="center"/>
            </w:pPr>
            <w:r>
              <w:rPr>
                <w:rFonts w:hint="default" w:ascii="Calibri" w:hAnsi="Calibri" w:cs="Calibri"/>
                <w:color w:val="000000"/>
                <w:sz w:val="24"/>
                <w:szCs w:val="24"/>
                <w:bdr w:val="none" w:color="auto" w:sz="0" w:space="0"/>
              </w:rPr>
              <w:t>W</w:t>
            </w:r>
          </w:p>
        </w:tc>
        <w:tc>
          <w:tcPr>
            <w:tcW w:w="720" w:type="dxa"/>
            <w:tcBorders>
              <w:top w:val="single" w:color="000000" w:sz="6" w:space="0"/>
              <w:left w:val="single" w:color="000000" w:sz="6" w:space="0"/>
              <w:bottom w:val="single" w:color="000000" w:sz="4" w:space="0"/>
              <w:right w:val="single" w:color="000000" w:sz="6" w:space="0"/>
            </w:tcBorders>
            <w:shd w:val="clear"/>
            <w:tcMar>
              <w:left w:w="108" w:type="dxa"/>
              <w:right w:w="108" w:type="dxa"/>
            </w:tcMar>
            <w:vAlign w:val="center"/>
          </w:tcPr>
          <w:p w14:paraId="700B47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99"/>
              <w:jc w:val="center"/>
            </w:pPr>
            <w:r>
              <w:rPr>
                <w:rFonts w:hint="default" w:ascii="Calibri" w:hAnsi="Calibri" w:cs="Calibri"/>
                <w:color w:val="000000"/>
                <w:sz w:val="24"/>
                <w:szCs w:val="24"/>
                <w:bdr w:val="none" w:color="auto" w:sz="0" w:space="0"/>
              </w:rPr>
              <w:t>R</w:t>
            </w:r>
          </w:p>
        </w:tc>
        <w:tc>
          <w:tcPr>
            <w:tcW w:w="785" w:type="dxa"/>
            <w:tcBorders>
              <w:top w:val="single" w:color="000000" w:sz="6" w:space="0"/>
              <w:left w:val="single" w:color="000000" w:sz="6" w:space="0"/>
              <w:bottom w:val="single" w:color="000000" w:sz="4" w:space="0"/>
              <w:right w:val="single" w:color="000000" w:sz="12" w:space="0"/>
            </w:tcBorders>
            <w:shd w:val="clear"/>
            <w:tcMar>
              <w:left w:w="108" w:type="dxa"/>
              <w:right w:w="108" w:type="dxa"/>
            </w:tcMar>
            <w:vAlign w:val="center"/>
          </w:tcPr>
          <w:p w14:paraId="49D582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bdr w:val="none" w:color="auto" w:sz="0" w:space="0"/>
              </w:rPr>
              <w:t>备注</w:t>
            </w:r>
          </w:p>
        </w:tc>
      </w:tr>
      <w:tr w14:paraId="61B1B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51" w:type="dxa"/>
            <w:vMerge w:val="restart"/>
            <w:tcBorders>
              <w:top w:val="single" w:color="000000" w:sz="4" w:space="0"/>
              <w:left w:val="single" w:color="000000" w:sz="12" w:space="0"/>
              <w:bottom w:val="single" w:color="000000" w:sz="6" w:space="0"/>
              <w:right w:val="single" w:color="000000" w:sz="6" w:space="0"/>
            </w:tcBorders>
            <w:shd w:val="clear"/>
            <w:tcMar>
              <w:left w:w="108" w:type="dxa"/>
              <w:right w:w="108" w:type="dxa"/>
            </w:tcMar>
            <w:vAlign w:val="center"/>
          </w:tcPr>
          <w:p w14:paraId="64C9F8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1</w:t>
            </w:r>
          </w:p>
        </w:tc>
        <w:tc>
          <w:tcPr>
            <w:tcW w:w="1842" w:type="dxa"/>
            <w:vMerge w:val="restart"/>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2B1E71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794" w:type="dxa"/>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2D7A0F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540" w:type="dxa"/>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0C23820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99"/>
              <w:jc w:val="center"/>
            </w:pPr>
            <w:r>
              <w:rPr>
                <w:bdr w:val="none" w:color="auto" w:sz="0" w:space="0"/>
              </w:rPr>
              <w:t> </w:t>
            </w:r>
          </w:p>
        </w:tc>
        <w:tc>
          <w:tcPr>
            <w:tcW w:w="720" w:type="dxa"/>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4066D7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20" w:type="dxa"/>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39CF0B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85" w:type="dxa"/>
            <w:tcBorders>
              <w:top w:val="single" w:color="000000" w:sz="4" w:space="0"/>
              <w:left w:val="single" w:color="000000" w:sz="6" w:space="0"/>
              <w:bottom w:val="single" w:color="000000" w:sz="6" w:space="0"/>
              <w:right w:val="single" w:color="000000" w:sz="12" w:space="0"/>
            </w:tcBorders>
            <w:shd w:val="clear"/>
            <w:tcMar>
              <w:left w:w="108" w:type="dxa"/>
              <w:right w:w="108" w:type="dxa"/>
            </w:tcMar>
            <w:vAlign w:val="center"/>
          </w:tcPr>
          <w:p w14:paraId="649025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00DD3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blCellSpacing w:w="0" w:type="dxa"/>
          <w:jc w:val="center"/>
        </w:trPr>
        <w:tc>
          <w:tcPr>
            <w:tcW w:w="851" w:type="dxa"/>
            <w:vMerge w:val="continue"/>
            <w:tcBorders>
              <w:top w:val="single" w:color="000000" w:sz="4" w:space="0"/>
              <w:left w:val="single" w:color="000000" w:sz="12" w:space="0"/>
              <w:bottom w:val="single" w:color="000000" w:sz="6" w:space="0"/>
              <w:right w:val="single" w:color="000000" w:sz="6" w:space="0"/>
            </w:tcBorders>
            <w:shd w:val="clear"/>
            <w:tcMar>
              <w:left w:w="108" w:type="dxa"/>
              <w:right w:w="108" w:type="dxa"/>
            </w:tcMar>
            <w:vAlign w:val="center"/>
          </w:tcPr>
          <w:p w14:paraId="5F7FDD06">
            <w:pPr>
              <w:rPr>
                <w:rFonts w:hint="eastAsia" w:ascii="宋体"/>
                <w:sz w:val="24"/>
                <w:szCs w:val="24"/>
              </w:rPr>
            </w:pPr>
          </w:p>
        </w:tc>
        <w:tc>
          <w:tcPr>
            <w:tcW w:w="1842" w:type="dxa"/>
            <w:vMerge w:val="continue"/>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3F33A6CD">
            <w:pPr>
              <w:rPr>
                <w:rFonts w:hint="eastAsia" w:ascii="宋体"/>
                <w:sz w:val="24"/>
                <w:szCs w:val="24"/>
              </w:rPr>
            </w:pPr>
          </w:p>
        </w:tc>
        <w:tc>
          <w:tcPr>
            <w:tcW w:w="2794"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56C05F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32"/>
              <w:jc w:val="center"/>
            </w:pPr>
            <w:r>
              <w:rPr>
                <w:bdr w:val="none" w:color="auto" w:sz="0" w:space="0"/>
              </w:rPr>
              <w:t> </w:t>
            </w:r>
          </w:p>
        </w:tc>
        <w:tc>
          <w:tcPr>
            <w:tcW w:w="5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4360B7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99"/>
              <w:jc w:val="center"/>
            </w:pPr>
            <w:r>
              <w:rPr>
                <w:bdr w:val="none" w:color="auto" w:sz="0" w:space="0"/>
              </w:rPr>
              <w:t> </w:t>
            </w: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1210D9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74A268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85"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3CB82C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5AECB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51" w:type="dxa"/>
            <w:vMerge w:val="continue"/>
            <w:tcBorders>
              <w:top w:val="single" w:color="000000" w:sz="4" w:space="0"/>
              <w:left w:val="single" w:color="000000" w:sz="12" w:space="0"/>
              <w:bottom w:val="single" w:color="000000" w:sz="6" w:space="0"/>
              <w:right w:val="single" w:color="000000" w:sz="6" w:space="0"/>
            </w:tcBorders>
            <w:shd w:val="clear"/>
            <w:tcMar>
              <w:left w:w="108" w:type="dxa"/>
              <w:right w:w="108" w:type="dxa"/>
            </w:tcMar>
            <w:vAlign w:val="center"/>
          </w:tcPr>
          <w:p w14:paraId="59AAB059">
            <w:pPr>
              <w:rPr>
                <w:rFonts w:hint="eastAsia" w:ascii="宋体"/>
                <w:sz w:val="24"/>
                <w:szCs w:val="24"/>
              </w:rPr>
            </w:pPr>
          </w:p>
        </w:tc>
        <w:tc>
          <w:tcPr>
            <w:tcW w:w="1842" w:type="dxa"/>
            <w:vMerge w:val="continue"/>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24156598">
            <w:pPr>
              <w:rPr>
                <w:rFonts w:hint="eastAsia" w:ascii="宋体"/>
                <w:sz w:val="24"/>
                <w:szCs w:val="24"/>
              </w:rPr>
            </w:pPr>
          </w:p>
        </w:tc>
        <w:tc>
          <w:tcPr>
            <w:tcW w:w="2794"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2EB8FF0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w:t>
            </w:r>
          </w:p>
        </w:tc>
        <w:tc>
          <w:tcPr>
            <w:tcW w:w="5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32507E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199"/>
              <w:jc w:val="center"/>
            </w:pPr>
            <w:r>
              <w:rPr>
                <w:bdr w:val="none" w:color="auto" w:sz="0" w:space="0"/>
              </w:rPr>
              <w:t> </w:t>
            </w: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7522A54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48157B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85"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3A959D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7D3C3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51" w:type="dxa"/>
            <w:vMerge w:val="restart"/>
            <w:tcBorders>
              <w:top w:val="single" w:color="000000" w:sz="4" w:space="0"/>
              <w:left w:val="single" w:color="000000" w:sz="12" w:space="0"/>
              <w:bottom w:val="single" w:color="000000" w:sz="6" w:space="0"/>
              <w:right w:val="single" w:color="000000" w:sz="6" w:space="0"/>
            </w:tcBorders>
            <w:shd w:val="clear"/>
            <w:tcMar>
              <w:left w:w="108" w:type="dxa"/>
              <w:right w:w="108" w:type="dxa"/>
            </w:tcMar>
            <w:vAlign w:val="center"/>
          </w:tcPr>
          <w:p w14:paraId="364147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2</w:t>
            </w:r>
          </w:p>
        </w:tc>
        <w:tc>
          <w:tcPr>
            <w:tcW w:w="1842" w:type="dxa"/>
            <w:vMerge w:val="restart"/>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523986C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794" w:type="dxa"/>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68B3F7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540" w:type="dxa"/>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08D3398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20" w:type="dxa"/>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4A790E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20" w:type="dxa"/>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223E0EE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85" w:type="dxa"/>
            <w:tcBorders>
              <w:top w:val="single" w:color="000000" w:sz="4" w:space="0"/>
              <w:left w:val="single" w:color="000000" w:sz="6" w:space="0"/>
              <w:bottom w:val="single" w:color="000000" w:sz="6" w:space="0"/>
              <w:right w:val="single" w:color="000000" w:sz="12" w:space="0"/>
            </w:tcBorders>
            <w:shd w:val="clear"/>
            <w:tcMar>
              <w:left w:w="108" w:type="dxa"/>
              <w:right w:w="108" w:type="dxa"/>
            </w:tcMar>
            <w:vAlign w:val="center"/>
          </w:tcPr>
          <w:p w14:paraId="7507CD1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75519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51" w:type="dxa"/>
            <w:vMerge w:val="continue"/>
            <w:tcBorders>
              <w:top w:val="single" w:color="000000" w:sz="4" w:space="0"/>
              <w:left w:val="single" w:color="000000" w:sz="12" w:space="0"/>
              <w:bottom w:val="single" w:color="000000" w:sz="6" w:space="0"/>
              <w:right w:val="single" w:color="000000" w:sz="6" w:space="0"/>
            </w:tcBorders>
            <w:shd w:val="clear"/>
            <w:tcMar>
              <w:left w:w="108" w:type="dxa"/>
              <w:right w:w="108" w:type="dxa"/>
            </w:tcMar>
            <w:vAlign w:val="center"/>
          </w:tcPr>
          <w:p w14:paraId="53B47FA9">
            <w:pPr>
              <w:rPr>
                <w:rFonts w:hint="eastAsia" w:ascii="宋体"/>
                <w:sz w:val="24"/>
                <w:szCs w:val="24"/>
              </w:rPr>
            </w:pPr>
          </w:p>
        </w:tc>
        <w:tc>
          <w:tcPr>
            <w:tcW w:w="1842" w:type="dxa"/>
            <w:vMerge w:val="continue"/>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00B7BC83">
            <w:pPr>
              <w:rPr>
                <w:rFonts w:hint="eastAsia" w:ascii="宋体"/>
                <w:sz w:val="24"/>
                <w:szCs w:val="24"/>
              </w:rPr>
            </w:pPr>
          </w:p>
        </w:tc>
        <w:tc>
          <w:tcPr>
            <w:tcW w:w="2794"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166DA2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32"/>
              <w:jc w:val="center"/>
            </w:pPr>
            <w:r>
              <w:rPr>
                <w:bdr w:val="none" w:color="auto" w:sz="0" w:space="0"/>
              </w:rPr>
              <w:t> </w:t>
            </w:r>
          </w:p>
        </w:tc>
        <w:tc>
          <w:tcPr>
            <w:tcW w:w="5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4D46B5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1972E4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5096569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85"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36D4DF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372B6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51" w:type="dxa"/>
            <w:vMerge w:val="continue"/>
            <w:tcBorders>
              <w:top w:val="single" w:color="000000" w:sz="4" w:space="0"/>
              <w:left w:val="single" w:color="000000" w:sz="12" w:space="0"/>
              <w:bottom w:val="single" w:color="000000" w:sz="6" w:space="0"/>
              <w:right w:val="single" w:color="000000" w:sz="6" w:space="0"/>
            </w:tcBorders>
            <w:shd w:val="clear"/>
            <w:tcMar>
              <w:left w:w="108" w:type="dxa"/>
              <w:right w:w="108" w:type="dxa"/>
            </w:tcMar>
            <w:vAlign w:val="center"/>
          </w:tcPr>
          <w:p w14:paraId="57605373">
            <w:pPr>
              <w:rPr>
                <w:rFonts w:hint="eastAsia" w:ascii="宋体"/>
                <w:sz w:val="24"/>
                <w:szCs w:val="24"/>
              </w:rPr>
            </w:pPr>
          </w:p>
        </w:tc>
        <w:tc>
          <w:tcPr>
            <w:tcW w:w="1842" w:type="dxa"/>
            <w:vMerge w:val="continue"/>
            <w:tcBorders>
              <w:top w:val="single" w:color="000000" w:sz="4" w:space="0"/>
              <w:left w:val="single" w:color="000000" w:sz="6" w:space="0"/>
              <w:bottom w:val="single" w:color="000000" w:sz="6" w:space="0"/>
              <w:right w:val="single" w:color="000000" w:sz="6" w:space="0"/>
            </w:tcBorders>
            <w:shd w:val="clear"/>
            <w:tcMar>
              <w:left w:w="108" w:type="dxa"/>
              <w:right w:w="108" w:type="dxa"/>
            </w:tcMar>
            <w:vAlign w:val="center"/>
          </w:tcPr>
          <w:p w14:paraId="1DA7D371">
            <w:pPr>
              <w:rPr>
                <w:rFonts w:hint="eastAsia" w:ascii="宋体"/>
                <w:sz w:val="24"/>
                <w:szCs w:val="24"/>
              </w:rPr>
            </w:pPr>
          </w:p>
        </w:tc>
        <w:tc>
          <w:tcPr>
            <w:tcW w:w="2794"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3E096FC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w:t>
            </w:r>
          </w:p>
        </w:tc>
        <w:tc>
          <w:tcPr>
            <w:tcW w:w="5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5DCF1E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477173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61FBEE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785"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312F8A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bl>
    <w:p w14:paraId="7629D4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注：文件见证、现场见证和停工待检，即R点、W点、H点。</w:t>
      </w:r>
    </w:p>
    <w:p w14:paraId="564215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R点：承包人提供检验或试验记录或报告的项目，即见证文件。</w:t>
      </w:r>
    </w:p>
    <w:p w14:paraId="18C9CB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W点：发包人监造代表参加的检验或试验项目，检验或试验后承包人提供检验或试验记录，即现场见证。</w:t>
      </w:r>
    </w:p>
    <w:p w14:paraId="5E8605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H点：停工待检。承包人在进行至该点时必须停工等待发包人监造代表参加的检验或试验项目，检验或试验后承包人提供检验或试验记录。</w:t>
      </w:r>
    </w:p>
    <w:p w14:paraId="5F23AE4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1.3监造单位应履行以下的职责和义务：</w:t>
      </w:r>
    </w:p>
    <w:p w14:paraId="0D3E3CD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1.3.1熟悉合同设备的图纸、技术标准、制造工艺和检验、试验方法及质量标准；</w:t>
      </w:r>
    </w:p>
    <w:p w14:paraId="20166E1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1.3.2确认制造单位提交的工艺方案是否符合要求；</w:t>
      </w:r>
    </w:p>
    <w:p w14:paraId="2AE843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1.3.3确认制造单位及其主要分包单位的质量管理体系和实际生产能力是否满足设备订货合同的要求。</w:t>
      </w:r>
    </w:p>
    <w:p w14:paraId="320C234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1.3.4确认制造单位及其主要分包单位的质量管理体系和实际生产能力是否满足设备供货合同的要求。</w:t>
      </w:r>
    </w:p>
    <w:p w14:paraId="22F268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1.3.5确认制造单位特种作业人员、关键工序操作人员和主要检验、试验人员的上岗资质是否满足设备质量要求。</w:t>
      </w:r>
    </w:p>
    <w:p w14:paraId="12A50E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1.3.6确认制造单位的检验、试验设备是否满足设备生产过程检验和各项试验的要求。</w:t>
      </w:r>
    </w:p>
    <w:p w14:paraId="00C861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1.3.7查验制造单位的装配场地和整机试验场地的环境是否满足设备质量的要求。</w:t>
      </w:r>
    </w:p>
    <w:p w14:paraId="3273F8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1.3.8确认制造单位对合同设备拟采用的新技术、新工艺、新材料的鉴定书和试验报告，并通知承包人。</w:t>
      </w:r>
    </w:p>
    <w:p w14:paraId="79C9B7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1.3.9查验制造单位提供的原材料、外购件、外协件、配套件、元器件、标准件、毛坯铸锻件的材质证明书、合格证等质量证明文件，符合要求的，予以签认，并在制造过程中做好跟踪记录。</w:t>
      </w:r>
    </w:p>
    <w:p w14:paraId="643310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1.3.10对设备制造过程进行监督和抽查，深入生产场地对所监造设备进行巡回检查，对主要及关键零部件的制造质量和制造工序进行检查与确认。</w:t>
      </w:r>
    </w:p>
    <w:p w14:paraId="7DE4CC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1.3.11按制造单位检验计划和相应标准、规范的要求，监督设备制造过程的检验工作，并对检验结果进行确认。如发现检验结果不符合规定，及时通知制造单位进行整改、返工或返修；对当场无法处理的质量问题，监造人员应书面通知制造单位，要求暂停该部件转入下道工序或出厂，并要求制造单位处理；当发现重大质量问题时，应及时报告承包人。</w:t>
      </w:r>
    </w:p>
    <w:p w14:paraId="6C9CC1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1.3.12参加制造单位的试组装、总装配和整机试验、出厂试验，对装配和试验结果签署意见。</w:t>
      </w:r>
    </w:p>
    <w:p w14:paraId="77B5771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1.3.13检查制造单位对设备采取的防护和包装措施是否符合《设备订货合同》的要求，相关的随机文件、装箱单和附件是否齐全，在确认后签发发运证书。</w:t>
      </w:r>
    </w:p>
    <w:p w14:paraId="73CE01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1.3.14审核设备制造单位根据《设备订货合同》的约定提交的进度付款单，提出审核意见。</w:t>
      </w:r>
    </w:p>
    <w:p w14:paraId="47A8E4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1.3.15在设备制造期间，按旬向承包人提供监造工作简报，通报设备在制造过程中加工、试验、总装以及生产进度等情况。</w:t>
      </w:r>
    </w:p>
    <w:p w14:paraId="4A68B8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1.3.16根据承包人和制造单位共同商定的监造项目，按设备制造进度到现场进行监检，对存在问题及处理结果，定期向承包人报告。</w:t>
      </w:r>
    </w:p>
    <w:p w14:paraId="16830B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1.3.17设备监造工作结束后，编写设备监造工作总结，整理监造工作的有关资料、记录等文件，并提交给承包人。</w:t>
      </w:r>
    </w:p>
    <w:p w14:paraId="09A371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1.3.18监造单位提交的工作简报、鉴定结果、试验报告、存在的质量、进度问题及处理结果和设备监造工作总结及时报告发包人。在合同工程竣工时将《电力设备监造技术导则》规定监造单位应向委托人提交的全部监造资料整理经监理工程师审查后移交发包人。</w:t>
      </w:r>
    </w:p>
    <w:p w14:paraId="30DB614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1.3.19在合同规定要提供的所有主要设备、主要辅助设备和关键材料的制造、加工和准备过程中，关键的监造、检测、试验活动，承包人应及时通知发包人派代表参加。发包人有权对监造、检测、试验的结果提出异议，并要求再次检测或试验；同时发包人有权要求对存在质量问题的设备和材料进行整改或更换，由此发生的所有费用由承包人承担。</w:t>
      </w:r>
    </w:p>
    <w:p w14:paraId="12A44D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1.3.20每当上述在制物件准备就绪、有待进行包装、覆盖或掩蔽之前，承包人应及时通知发包人代表。发包人代表应按时参加上述物件的检验、检查、测量或试验，不得无故拖延；或通知承包人说明无需进行上述工作。如果承包人未按上述要求发出通知，当发包人代表提出要求时，承包人就应除去上述在制物件上的覆盖物，随后再将其恢复原状。</w:t>
      </w:r>
    </w:p>
    <w:p w14:paraId="65B3E1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2．清退出场</w:t>
      </w:r>
    </w:p>
    <w:p w14:paraId="45E001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如果发包人代表或监理工程师根据检验、检查或试验结果判定，其工程设备、材料、设计或加工成品或半成品质量不合格或不符合合同的规定，且无法通过修复达到符合合同规定的，则发包人代表或监理工程师就可发出通知要求承包人将上述工程设备、材料、加工成品或半成品，立即运离现场，并说明清退出场的理由。承包人则应立即组织清退并更换，并保证上述被更换物资符合合同规定。</w:t>
      </w:r>
    </w:p>
    <w:p w14:paraId="34AA613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63CA03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br w:type="page"/>
      </w:r>
      <w:r>
        <w:rPr>
          <w:rFonts w:hint="default" w:ascii="Calibri" w:hAnsi="Calibri" w:cs="Calibri"/>
          <w:color w:val="000000"/>
          <w:sz w:val="24"/>
          <w:szCs w:val="24"/>
        </w:rPr>
        <w:t> </w:t>
      </w:r>
      <w:bookmarkStart w:id="1108" w:name="_Toc17974"/>
      <w:bookmarkStart w:id="1109" w:name="_Toc13942"/>
      <w:bookmarkStart w:id="1110" w:name="_Toc32223"/>
      <w:bookmarkStart w:id="1111" w:name="_Toc11964"/>
      <w:bookmarkStart w:id="1112" w:name="_Toc67789108"/>
      <w:bookmarkStart w:id="1113" w:name="_Toc79760530"/>
      <w:r>
        <w:rPr>
          <w:rFonts w:hint="eastAsia" w:ascii="黑体" w:hAnsi="宋体" w:eastAsia="黑体" w:cs="黑体"/>
          <w:color w:val="000000"/>
          <w:sz w:val="28"/>
          <w:szCs w:val="28"/>
        </w:rPr>
        <w:t>技术文件附件</w:t>
      </w:r>
      <w:r>
        <w:rPr>
          <w:rFonts w:hint="default" w:ascii="Calibri" w:hAnsi="Calibri" w:cs="Calibri"/>
          <w:color w:val="000000"/>
          <w:sz w:val="28"/>
          <w:szCs w:val="28"/>
        </w:rPr>
        <w:t>五：培训</w:t>
      </w:r>
      <w:bookmarkEnd w:id="1108"/>
      <w:bookmarkEnd w:id="1109"/>
      <w:bookmarkEnd w:id="1110"/>
      <w:bookmarkEnd w:id="1111"/>
      <w:bookmarkEnd w:id="1112"/>
      <w:bookmarkEnd w:id="1113"/>
    </w:p>
    <w:p w14:paraId="2023FB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r>
        <w:rPr>
          <w:rFonts w:hint="default" w:ascii="Calibri" w:hAnsi="Calibri" w:cs="Calibri"/>
          <w:color w:val="000000"/>
          <w:sz w:val="28"/>
          <w:szCs w:val="28"/>
        </w:rPr>
        <w:t>培训</w:t>
      </w:r>
    </w:p>
    <w:p w14:paraId="45054B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14" w:name="_Toc79760531"/>
      <w:r>
        <w:rPr>
          <w:rFonts w:hint="default" w:ascii="Calibri" w:hAnsi="Calibri" w:cs="Calibri"/>
          <w:color w:val="000000"/>
          <w:sz w:val="24"/>
          <w:szCs w:val="24"/>
        </w:rPr>
        <w:t>1．人员培训和派遣</w:t>
      </w:r>
      <w:bookmarkEnd w:id="1114"/>
    </w:p>
    <w:p w14:paraId="78B1DA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1.1承包人应负责在其工厂或其他地点培训发包人的技术人员。</w:t>
      </w:r>
    </w:p>
    <w:p w14:paraId="0D5C69C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1.2承包人将负责培训课程的安排，并由发包人确认。承包人应选择有经验和能力的培训员。培训和培训教材使用中文。</w:t>
      </w:r>
    </w:p>
    <w:p w14:paraId="70AAD0B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1.3培训当中应采用各种手段保证培训效果，如在实际设备基础上解释系统、写课程报告、参观现场和阅读技术材料和图纸。承包人将免费提供必要的技术信息和图纸、设备、工具、仪表和防护用具。</w:t>
      </w:r>
    </w:p>
    <w:p w14:paraId="25D7914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1.4技术人员包括高级技术人员、操作工和值班员。</w:t>
      </w:r>
    </w:p>
    <w:p w14:paraId="229CA09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1.5承包人应接受发包人的技术人员参加基本设计。</w:t>
      </w:r>
    </w:p>
    <w:p w14:paraId="227F20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2．发包人技术人员的培训内容</w:t>
      </w:r>
    </w:p>
    <w:p w14:paraId="350042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2.1国内培训</w:t>
      </w:r>
    </w:p>
    <w:p w14:paraId="417698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2.1.1承包人为发包人提供技术培训。</w:t>
      </w:r>
    </w:p>
    <w:p w14:paraId="14AF2A6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2.1.2承包人应指定其有经验的和合格的技术人员培训发包人的技术人员。</w:t>
      </w:r>
    </w:p>
    <w:p w14:paraId="4CED19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2.1.3承包人应确保发包人技术人员能够在上述工厂的不同岗位进行操作和受训，从而使发包人技术人员掌握设备的技术、运行、检验、修理和维护等知识。</w:t>
      </w:r>
    </w:p>
    <w:p w14:paraId="51733AB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2.1.4培训开始前承包人应向发包人技术人员详细解释运行规程和其他工作注意事项。</w:t>
      </w:r>
    </w:p>
    <w:p w14:paraId="72C2DB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3．派往承包人的发包人人员的待遇条款</w:t>
      </w:r>
    </w:p>
    <w:p w14:paraId="77D503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3.1为了合同设备的顺利施工和运行，发包人应派遣技术人员到承包人参加联络会、检验和培训。</w:t>
      </w:r>
    </w:p>
    <w:p w14:paraId="5D12A6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3.2发包人技术人员到承包人参加联络会、检验和培训的交通、食宿等所有费用已包括在合同总价中。</w:t>
      </w:r>
    </w:p>
    <w:p w14:paraId="6E9DDB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3.3所有上述联络会、检验和培训的准备、组织和安排的费用将由承包人承担。</w:t>
      </w:r>
    </w:p>
    <w:p w14:paraId="5AE41B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3.4为了更好地了解同合同设备相关的设计和运行技术问题，如果双方都认为有必要，承包人应安排发包人技术人员参加培训、检验和参观设备制造厂。</w:t>
      </w:r>
    </w:p>
    <w:p w14:paraId="24D5E0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3.4在发包人技术人员停留期间，承包人应免费为发包人技术人员提供技术文件、图纸、参考数据、工作服、劳保服和其他必需品，以及提供办公室。</w:t>
      </w:r>
    </w:p>
    <w:p w14:paraId="592CDC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3.6为了顺利完成培训，除非双方同意，承包人技术人员不得因假期中断对发包人技术人员的培训。</w:t>
      </w:r>
    </w:p>
    <w:p w14:paraId="2AC636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3.7承包人应提交一份完整的培训计划。最终的时间表、培训地点、发包人技术人员的专业和培训内容将在联络会上确定。</w:t>
      </w:r>
    </w:p>
    <w:p w14:paraId="24CA47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73081E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br w:type="page"/>
      </w:r>
      <w:r>
        <w:rPr>
          <w:rFonts w:hint="default" w:ascii="Calibri" w:hAnsi="Calibri" w:cs="Calibri"/>
          <w:color w:val="000000"/>
          <w:sz w:val="24"/>
          <w:szCs w:val="24"/>
        </w:rPr>
        <w:t> </w:t>
      </w:r>
      <w:bookmarkStart w:id="1115" w:name="_Toc22209"/>
      <w:bookmarkStart w:id="1116" w:name="_Toc25689"/>
      <w:bookmarkStart w:id="1117" w:name="_Toc67789109"/>
      <w:bookmarkStart w:id="1118" w:name="_Toc6348"/>
      <w:bookmarkStart w:id="1119" w:name="_Toc79760532"/>
      <w:bookmarkStart w:id="1120" w:name="_Toc1844"/>
      <w:r>
        <w:rPr>
          <w:rFonts w:hint="eastAsia" w:ascii="黑体" w:hAnsi="宋体" w:eastAsia="黑体" w:cs="黑体"/>
          <w:color w:val="000000"/>
          <w:sz w:val="28"/>
          <w:szCs w:val="28"/>
        </w:rPr>
        <w:t>技术文件附件</w:t>
      </w:r>
      <w:r>
        <w:rPr>
          <w:rFonts w:hint="default" w:ascii="Calibri" w:hAnsi="Calibri" w:cs="Calibri"/>
          <w:color w:val="000000"/>
          <w:sz w:val="28"/>
          <w:szCs w:val="28"/>
        </w:rPr>
        <w:t>六：运输和保管</w:t>
      </w:r>
      <w:bookmarkEnd w:id="1115"/>
      <w:bookmarkEnd w:id="1116"/>
      <w:bookmarkEnd w:id="1117"/>
      <w:bookmarkEnd w:id="1118"/>
      <w:bookmarkEnd w:id="1119"/>
      <w:bookmarkEnd w:id="1120"/>
    </w:p>
    <w:p w14:paraId="7F2942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5"/>
        <w:jc w:val="center"/>
      </w:pPr>
      <w:r>
        <w:rPr>
          <w:rFonts w:hint="default" w:ascii="Calibri" w:hAnsi="Calibri" w:cs="Calibri"/>
          <w:color w:val="000000"/>
          <w:sz w:val="28"/>
          <w:szCs w:val="28"/>
        </w:rPr>
        <w:t>运输和保管</w:t>
      </w:r>
    </w:p>
    <w:p w14:paraId="0A19D4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承包人采购的本工程所有工程设备、材料，以及其他物资从制造厂到现场的装车、运输、中转装卸、接货、卸车、检验、入库、保管、维护、保养、现场搬运至安装位置等均由承包人负责和管理。</w:t>
      </w:r>
    </w:p>
    <w:p w14:paraId="290FB16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应参照《电力基本建设火电设备维护保管规程》（DL/T855-2004）的要求对现场工程设备、材料实施分类保管。承包人和分包商应及时构建符合要求的棚库、封闭库、保温库、危险品库等。露天堆放场地应进行必要的硬化、围护，并设有排水、防火设施。承包人和分包商应建立健全设备、材料开箱检验、出入库管理、维修保养、废弃设备材料处置管理办法等制度。发包人代表及监理工程师将定期对设备、材料的管理状况进行监督检查，承包人负责落实监督检查提出的整改意见。</w:t>
      </w:r>
    </w:p>
    <w:p w14:paraId="66C1B9F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687E408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Calibri" w:hAnsi="Calibri" w:cs="Calibri"/>
          <w:color w:val="000000"/>
          <w:sz w:val="24"/>
          <w:szCs w:val="24"/>
        </w:rPr>
        <w:br w:type="page"/>
      </w:r>
      <w:r>
        <w:rPr>
          <w:rFonts w:hint="default" w:ascii="Calibri" w:hAnsi="Calibri" w:cs="Calibri"/>
          <w:color w:val="000000"/>
          <w:sz w:val="24"/>
          <w:szCs w:val="24"/>
        </w:rPr>
        <w:t> </w:t>
      </w:r>
      <w:bookmarkStart w:id="1121" w:name="_Toc10467"/>
      <w:bookmarkStart w:id="1122" w:name="_Toc23865"/>
      <w:bookmarkStart w:id="1123" w:name="_Toc67789110"/>
      <w:bookmarkStart w:id="1124" w:name="_Toc32110"/>
      <w:bookmarkStart w:id="1125" w:name="_Toc17758"/>
      <w:bookmarkStart w:id="1126" w:name="_Toc79760533"/>
      <w:r>
        <w:rPr>
          <w:rFonts w:hint="eastAsia" w:ascii="黑体" w:hAnsi="宋体" w:eastAsia="黑体" w:cs="黑体"/>
          <w:color w:val="000000"/>
          <w:sz w:val="28"/>
          <w:szCs w:val="28"/>
        </w:rPr>
        <w:t>技术文件附件</w:t>
      </w:r>
      <w:r>
        <w:rPr>
          <w:rFonts w:hint="default" w:ascii="Calibri" w:hAnsi="Calibri" w:cs="Calibri"/>
          <w:color w:val="000000"/>
          <w:sz w:val="28"/>
          <w:szCs w:val="28"/>
        </w:rPr>
        <w:t>七：项目组织与管理</w:t>
      </w:r>
      <w:bookmarkEnd w:id="1121"/>
      <w:bookmarkEnd w:id="1122"/>
      <w:bookmarkEnd w:id="1123"/>
      <w:bookmarkEnd w:id="1124"/>
      <w:bookmarkEnd w:id="1125"/>
      <w:bookmarkEnd w:id="1126"/>
    </w:p>
    <w:p w14:paraId="36A0AE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r>
        <w:rPr>
          <w:rFonts w:hint="default" w:ascii="Calibri" w:hAnsi="Calibri" w:cs="Calibri"/>
          <w:color w:val="000000"/>
          <w:sz w:val="28"/>
          <w:szCs w:val="28"/>
        </w:rPr>
        <w:t>项目组织与管理</w:t>
      </w:r>
    </w:p>
    <w:p w14:paraId="5C54B0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27" w:name="_Toc79760534"/>
      <w:r>
        <w:rPr>
          <w:rFonts w:hint="default" w:ascii="Calibri" w:hAnsi="Calibri" w:cs="Calibri"/>
          <w:color w:val="000000"/>
          <w:sz w:val="24"/>
          <w:szCs w:val="24"/>
        </w:rPr>
        <w:t>1．项目管理组织机构和人员配置</w:t>
      </w:r>
      <w:bookmarkEnd w:id="1127"/>
    </w:p>
    <w:p w14:paraId="66E01E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28" w:name="_Toc79760535"/>
      <w:r>
        <w:rPr>
          <w:rFonts w:hint="default" w:ascii="Calibri" w:hAnsi="Calibri" w:cs="Calibri"/>
          <w:color w:val="000000"/>
          <w:sz w:val="24"/>
          <w:szCs w:val="24"/>
        </w:rPr>
        <w:t>1.1项目管理组织机构</w:t>
      </w:r>
      <w:bookmarkEnd w:id="1128"/>
    </w:p>
    <w:p w14:paraId="7142A2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应在项目场地设置项目经理部（以下简称“项目经理部”）以对其履行合同项目服务的行为进行管理。项目经理部是承包人履行其在合同项目服务的执行机构，在工程竣工前应为常设机构。项目经理部应为承包人履行其在合同项目服务的唯一机构，其所有行为均视为承包人本身的行为。项目经理部应包括下列人员：</w:t>
      </w:r>
    </w:p>
    <w:p w14:paraId="1D669D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项目经理：承包人应任命一名具有同类工程建设管理经验、并熟悉工程建设管理全过程的合格人员作为项目经理（以下简称“项目经理”），并任命若干名项目副经理。项目经理代表承包人履行合同，为承包人履行合同项目服务的唯一授权代表。项目经理应常驻项目场地，如果项目经理需要离开项目场地，则应授权一名项目副经理履行项目经理的职责并通知项目法人。</w:t>
      </w:r>
    </w:p>
    <w:p w14:paraId="12E4D2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承包人任命的项目经理应经项目法人同意，如果项目法人有充分理由认为承包人的项目经理不合格或不能正常履行其职责，则可以要求承包人撤换其项目经理，承包人应在规定期限内更换项目经理。</w:t>
      </w:r>
    </w:p>
    <w:p w14:paraId="7F6CB9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（2）项目施工总工程师：承包人应任命一名具有同类工程建设管理经验、并熟悉工程建设管理全过程的具有中、高级职称的技术人员作为项目总工程师。</w:t>
      </w:r>
    </w:p>
    <w:p w14:paraId="68030C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（3）项目调试总工程师：承包人应任命一名具有同类工程调试经验、并熟悉工程调试管理的具有中、高级职称的技术人员作为项目调总。</w:t>
      </w:r>
    </w:p>
    <w:p w14:paraId="47462A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29" w:name="_Toc79760536"/>
      <w:r>
        <w:rPr>
          <w:rFonts w:hint="default" w:ascii="Calibri" w:hAnsi="Calibri" w:cs="Calibri"/>
          <w:color w:val="000000"/>
          <w:sz w:val="24"/>
          <w:szCs w:val="24"/>
        </w:rPr>
        <w:t>1.2项目经理的资质、业绩</w:t>
      </w:r>
      <w:bookmarkEnd w:id="1129"/>
    </w:p>
    <w:p w14:paraId="1AAE6C6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提供简历表</w:t>
      </w:r>
    </w:p>
    <w:p w14:paraId="09782FB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30" w:name="_Toc79760537"/>
      <w:r>
        <w:rPr>
          <w:rFonts w:hint="default" w:ascii="Calibri" w:hAnsi="Calibri" w:cs="Calibri"/>
          <w:color w:val="000000"/>
          <w:sz w:val="24"/>
          <w:szCs w:val="24"/>
        </w:rPr>
        <w:t>1.3项目调试总工程师的资质、业绩</w:t>
      </w:r>
      <w:bookmarkEnd w:id="1130"/>
    </w:p>
    <w:p w14:paraId="11BDD7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提供简历表</w:t>
      </w:r>
    </w:p>
    <w:p w14:paraId="65D64D9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31" w:name="_Toc79760538"/>
      <w:r>
        <w:rPr>
          <w:rFonts w:hint="default" w:ascii="Calibri" w:hAnsi="Calibri" w:cs="Calibri"/>
          <w:color w:val="000000"/>
          <w:sz w:val="24"/>
          <w:szCs w:val="24"/>
        </w:rPr>
        <w:t>1.4项目主要管理人员的配置</w:t>
      </w:r>
      <w:bookmarkEnd w:id="1131"/>
    </w:p>
    <w:p w14:paraId="4E4FC6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1.4.1承包人的现场组织机构人员的配置，要根据工程特点，施工规模、建设工期、管理目标以及合理的管理跨度进行配置，应在提高管理人员整体素质的基础上优化组合，组成精干高效的管理工作班子。</w:t>
      </w:r>
    </w:p>
    <w:p w14:paraId="561CB7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1.4.2承包人现场组织机构管理人员的配置要有合理的专业机构，各专业人员应配套，并要有合理的技术职务、职称机构。</w:t>
      </w:r>
    </w:p>
    <w:p w14:paraId="70F5F9C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1.4.3承包人现场组织机构的管理人员应具有其所承担管理任务相适应的技术水平、管理水平和相应资质。</w:t>
      </w:r>
    </w:p>
    <w:p w14:paraId="6D585D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1.4.4现场项目部人员配置有（除项目经理外）：现场项目经理1人、土建专责4人、电气专责2人（进入调试及投运阶段不少于3人）、安全员2人、质检员2-3人、资料员1人、材料员1人，上述人员不得兼任。对承包人配备的现场人员若不能胜任其工作，发包人有权将其清退出场。</w:t>
      </w:r>
    </w:p>
    <w:p w14:paraId="5DC066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1.4.5承包人如果不能按照上述要求配备相关人员，发包人有权对其作出处罚（每少一人每日500元）。</w:t>
      </w:r>
    </w:p>
    <w:p w14:paraId="7305306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2．施工分承包人的选择</w:t>
      </w:r>
    </w:p>
    <w:p w14:paraId="59B41C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32" w:name="_Toc79760539"/>
      <w:r>
        <w:rPr>
          <w:rFonts w:hint="default" w:ascii="Calibri" w:hAnsi="Calibri" w:cs="Calibri"/>
          <w:color w:val="000000"/>
          <w:sz w:val="24"/>
          <w:szCs w:val="24"/>
        </w:rPr>
        <w:t>2.1施工分承包人的资质</w:t>
      </w:r>
      <w:bookmarkEnd w:id="1132"/>
    </w:p>
    <w:p w14:paraId="51AC18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2.1.1承包人可以选择合格的分承包人分包其在合同项目下的部分工程的建设或服务，承包人在选择分承包人时应对分承包人的资质、信誉、报价及质量进行综合考虑。承包人选择分承包人的过程应符合国家及行业的有关规定。分包人应符合国家法律规定的企业资质等级，否则不能作为分包人。承包人有义务对分包人的资质进行审查。</w:t>
      </w:r>
    </w:p>
    <w:p w14:paraId="3C2F6E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2.1.2项目法人有权参加选择该类主要分承包人过程中技术方面的选择确认过程，并可提出建议和意见，承包人应充分考虑项目法人的建议和意见。承包人在工程关键部分分包商的分包合同签署后应及时将该类分包合同（副本）提交给项目法人备案。</w:t>
      </w:r>
    </w:p>
    <w:p w14:paraId="77708C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351"/>
        </w:tabs>
        <w:spacing w:before="0" w:beforeAutospacing="0" w:after="0" w:afterAutospacing="0" w:line="360" w:lineRule="auto"/>
        <w:ind w:left="0" w:firstLine="480"/>
      </w:pPr>
      <w:r>
        <w:rPr>
          <w:rFonts w:hint="default" w:ascii="Calibri" w:hAnsi="Calibri" w:cs="Calibri"/>
          <w:color w:val="000000"/>
          <w:sz w:val="24"/>
          <w:szCs w:val="24"/>
        </w:rPr>
        <w:t>2.1.3承包人应保证任何分承包人均不将其分包项下的工程进行转包或再分包。</w:t>
      </w:r>
    </w:p>
    <w:p w14:paraId="10ACDEA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2.1.4除劳务分包外，建筑施工分承包人应具备相应专业的三级及以上资质，安装施工分承包人应具备机电安装三级及以上资质，涉网工程（包括设备安装、试验）分承包人应符合当地电力公司的要求，消防工程分承包人应符合消防管理单位的要求。具有丰富的施工经验，并具有足够的专业人员、机械设备和加工能力投入本工程，保证有效地履行合同。在安全、质量方面业绩优良。并具有同类工程的相关业绩。</w:t>
      </w:r>
    </w:p>
    <w:p w14:paraId="4A62110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33" w:name="_Toc79760540"/>
      <w:r>
        <w:rPr>
          <w:rFonts w:hint="default" w:ascii="Calibri" w:hAnsi="Calibri" w:cs="Calibri"/>
          <w:color w:val="000000"/>
          <w:sz w:val="24"/>
          <w:szCs w:val="24"/>
        </w:rPr>
        <w:t>2.2分承包人的保证</w:t>
      </w:r>
      <w:bookmarkEnd w:id="1133"/>
    </w:p>
    <w:p w14:paraId="6EC4ABF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2.2.1承包人应在所有分包合同中体现合同的原则和要求，并应自所有主要分承包人处获得所需的保证和担保（包括合格证、质量保证和履约保函等）。该类保证和担保未经项目法人事先书面同意不得加以修订、修改或以其他方式予以撤销。在任何情况下，工程关键部分分承包人的保证和担保的有效期均不少于相应完工后的一年。</w:t>
      </w:r>
    </w:p>
    <w:p w14:paraId="27730C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2.2.2承包人应尽其最大努力为项目法人的利益而自除主要分承包人外的其他分包商处获得在商业上所能获得的最佳保证和担保。</w:t>
      </w:r>
    </w:p>
    <w:p w14:paraId="6CE17E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34" w:name="_Toc79760541"/>
      <w:r>
        <w:rPr>
          <w:rFonts w:hint="default" w:ascii="Calibri" w:hAnsi="Calibri" w:cs="Calibri"/>
          <w:color w:val="000000"/>
          <w:sz w:val="24"/>
          <w:szCs w:val="24"/>
        </w:rPr>
        <w:t>2.3分承包人的行为</w:t>
      </w:r>
      <w:bookmarkEnd w:id="1134"/>
    </w:p>
    <w:p w14:paraId="0C7FB9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承包人应对任何分包商、其代理人或雇员的行为、违约和/或疏忽承担全部责任，如同此类行为、违约和/或疏忽是由承包人自己做出的一样。</w:t>
      </w:r>
    </w:p>
    <w:p w14:paraId="066109C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35" w:name="_Toc79760542"/>
      <w:r>
        <w:rPr>
          <w:rFonts w:hint="default" w:ascii="Calibri" w:hAnsi="Calibri" w:cs="Calibri"/>
          <w:color w:val="000000"/>
          <w:sz w:val="24"/>
          <w:szCs w:val="24"/>
        </w:rPr>
        <w:t>3．施工所用的标准及规范</w:t>
      </w:r>
      <w:bookmarkEnd w:id="1135"/>
    </w:p>
    <w:p w14:paraId="3F0B604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3.1国家和地方现行的标准、规范及其他技术文件，承包人的企业标准。</w:t>
      </w:r>
    </w:p>
    <w:p w14:paraId="2FC441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3.2行业标准、规范及其他技术文件。</w:t>
      </w:r>
    </w:p>
    <w:p w14:paraId="1CFFB5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3.3产品生产厂家的产品说明书及其他技术文件。</w:t>
      </w:r>
    </w:p>
    <w:p w14:paraId="121521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4．施工综合进度</w:t>
      </w:r>
    </w:p>
    <w:p w14:paraId="407A7A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4.1工程里程碑进度</w:t>
      </w:r>
    </w:p>
    <w:p w14:paraId="4B5EA7C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（要求承包人根据发包人提供的工程里程碑进度编制设计、采购、施工、调试组织进度网络图）</w:t>
      </w:r>
    </w:p>
    <w:p w14:paraId="162DDC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4.2制定工程进度计划（根据实际修改）</w:t>
      </w:r>
    </w:p>
    <w:p w14:paraId="04CA0D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工程进度计划（加载设备到货计划和图纸交付计划）。</w:t>
      </w:r>
    </w:p>
    <w:p w14:paraId="2375F1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4.3图纸交付进度</w:t>
      </w:r>
    </w:p>
    <w:p w14:paraId="07180C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由发包人在承包人进场后分批提供施工图</w:t>
      </w:r>
    </w:p>
    <w:p w14:paraId="14B4C7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4.4主要设备交付进度</w:t>
      </w:r>
    </w:p>
    <w:p w14:paraId="760241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4.5综合劳动力和主要工种劳动力安排计划</w:t>
      </w:r>
    </w:p>
    <w:p w14:paraId="697D306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4.6主要施工机械设备配置及进场计划</w:t>
      </w:r>
    </w:p>
    <w:p w14:paraId="2A0B00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4.7工程进度计划的实施和控制</w:t>
      </w:r>
    </w:p>
    <w:p w14:paraId="4960B6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（1）施工准备计划；</w:t>
      </w:r>
    </w:p>
    <w:p w14:paraId="02E4CD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（2）设计进度保证措施；</w:t>
      </w:r>
    </w:p>
    <w:p w14:paraId="3DAF07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（3）设备进度保证措施；</w:t>
      </w:r>
    </w:p>
    <w:p w14:paraId="069F2B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（4）施工进度保证措施；</w:t>
      </w:r>
    </w:p>
    <w:p w14:paraId="2948BC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（5）调试进度保证措施。</w:t>
      </w:r>
    </w:p>
    <w:p w14:paraId="445718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5．施工总平面布置</w:t>
      </w:r>
    </w:p>
    <w:p w14:paraId="381176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5.1施工区域划分和施工用地面积指标</w:t>
      </w:r>
    </w:p>
    <w:p w14:paraId="70A9C9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5.2交通运输组织</w:t>
      </w:r>
    </w:p>
    <w:p w14:paraId="5CECB1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5.3施工管线平面布置</w:t>
      </w:r>
    </w:p>
    <w:p w14:paraId="410856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5.4施工机械平面布置</w:t>
      </w:r>
    </w:p>
    <w:p w14:paraId="7A853B6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5.5施工总平面管理</w:t>
      </w:r>
    </w:p>
    <w:p w14:paraId="48C8B2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6．施工临时设施及场地</w:t>
      </w:r>
    </w:p>
    <w:p w14:paraId="0ADC2D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6.1土建工程生产性施工临时建筑及施工场地</w:t>
      </w:r>
    </w:p>
    <w:p w14:paraId="23EF3BF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6.2安装工程生产性施工临时建筑及施工场地</w:t>
      </w:r>
    </w:p>
    <w:p w14:paraId="6011FB3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6.3生活性施工临时建筑</w:t>
      </w:r>
    </w:p>
    <w:p w14:paraId="1CD5A4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6.4施工临时建筑总面积</w:t>
      </w:r>
    </w:p>
    <w:p w14:paraId="085E1B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7．施工供水供电</w:t>
      </w:r>
    </w:p>
    <w:p w14:paraId="203B6A0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7.1供水</w:t>
      </w:r>
    </w:p>
    <w:p w14:paraId="240E44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7.2供电</w:t>
      </w:r>
    </w:p>
    <w:p w14:paraId="081720B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8．主要施工方案及特殊施工措施</w:t>
      </w:r>
    </w:p>
    <w:p w14:paraId="71B470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36" w:name="_Toc79760543"/>
      <w:r>
        <w:rPr>
          <w:rFonts w:hint="default" w:ascii="Calibri" w:hAnsi="Calibri" w:cs="Calibri"/>
          <w:color w:val="000000"/>
          <w:sz w:val="24"/>
          <w:szCs w:val="24"/>
        </w:rPr>
        <w:t>8.1施工原则性方案</w:t>
      </w:r>
      <w:bookmarkEnd w:id="1136"/>
    </w:p>
    <w:p w14:paraId="303112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主要指整个工程施工的思路、想法、吊车的选用等叙述。</w:t>
      </w:r>
    </w:p>
    <w:p w14:paraId="266191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37" w:name="_Toc79760544"/>
      <w:r>
        <w:rPr>
          <w:rFonts w:hint="default" w:ascii="Calibri" w:hAnsi="Calibri" w:cs="Calibri"/>
          <w:color w:val="000000"/>
          <w:sz w:val="24"/>
          <w:szCs w:val="24"/>
        </w:rPr>
        <w:t>8.2承包人应编制土建工程主要施工方案目录有</w:t>
      </w:r>
      <w:bookmarkEnd w:id="1137"/>
    </w:p>
    <w:p w14:paraId="6E1A342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（1）土方工程</w:t>
      </w:r>
    </w:p>
    <w:p w14:paraId="1EA530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（2）钢筋工程</w:t>
      </w:r>
    </w:p>
    <w:p w14:paraId="00FD0C3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（3）模板工程</w:t>
      </w:r>
    </w:p>
    <w:p w14:paraId="7A9306B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（4）装修工程</w:t>
      </w:r>
    </w:p>
    <w:p w14:paraId="1E356A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（5）上下水、暖通及室外管网工程</w:t>
      </w:r>
    </w:p>
    <w:p w14:paraId="763618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（6）建筑电气工程</w:t>
      </w:r>
    </w:p>
    <w:p w14:paraId="4DF1FB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38" w:name="_Toc79760545"/>
      <w:r>
        <w:rPr>
          <w:rFonts w:hint="default" w:ascii="Calibri" w:hAnsi="Calibri" w:cs="Calibri"/>
          <w:color w:val="000000"/>
          <w:sz w:val="24"/>
          <w:szCs w:val="24"/>
        </w:rPr>
        <w:t>8.3承包人应编制安装工程主要施工方案目录有</w:t>
      </w:r>
      <w:bookmarkEnd w:id="1138"/>
    </w:p>
    <w:p w14:paraId="370261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1）电池组件安装方案</w:t>
      </w:r>
    </w:p>
    <w:p w14:paraId="748DD5E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2）变压器和开关柜安装方案</w:t>
      </w:r>
    </w:p>
    <w:p w14:paraId="7A9C69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3）电缆敷设和接线施工方案</w:t>
      </w:r>
    </w:p>
    <w:p w14:paraId="406D092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4）保温、油漆施工方案</w:t>
      </w:r>
    </w:p>
    <w:p w14:paraId="410148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8.4承包人应编制特殊施工措施目录有</w:t>
      </w:r>
    </w:p>
    <w:p w14:paraId="27AF4B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1）建筑、安装工程交叉施工作业安排</w:t>
      </w:r>
    </w:p>
    <w:p w14:paraId="4C99DC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2）防腐工程施工措施</w:t>
      </w:r>
    </w:p>
    <w:p w14:paraId="0C1541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3）试运措施</w:t>
      </w:r>
    </w:p>
    <w:p w14:paraId="670844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4）消防施工方案</w:t>
      </w:r>
    </w:p>
    <w:p w14:paraId="517EB5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9．设备、物资的管理</w:t>
      </w:r>
    </w:p>
    <w:p w14:paraId="741B05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9.1设备、材料的装卸与搬运</w:t>
      </w:r>
    </w:p>
    <w:p w14:paraId="2B9574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9.2设备的开箱检验及装箱图纸、技术资料的管理</w:t>
      </w:r>
    </w:p>
    <w:p w14:paraId="1577050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9.3设备、材料的保管保养</w:t>
      </w:r>
    </w:p>
    <w:p w14:paraId="73CA08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9.4设备的发放使用</w:t>
      </w:r>
    </w:p>
    <w:p w14:paraId="4CC5418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9.5工程材料的供应与管理</w:t>
      </w:r>
    </w:p>
    <w:p w14:paraId="13E4DA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9.6工程竣工后备品、备件及专用工具的移交</w:t>
      </w:r>
    </w:p>
    <w:p w14:paraId="56AA517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10．项目质量管理</w:t>
      </w:r>
    </w:p>
    <w:p w14:paraId="23D6CD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10.1承包人质量管理手册</w:t>
      </w:r>
    </w:p>
    <w:p w14:paraId="6C0873F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10.2质量管理体系可操作性程序文件清单</w:t>
      </w:r>
    </w:p>
    <w:p w14:paraId="6776938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承包人应结合工程实际情况，提供符合ISO9001：2000质量管理体系要求的质量计划或质保大纲。</w:t>
      </w:r>
    </w:p>
    <w:p w14:paraId="027D2A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承包人应结合工程实际情况，提供创优的策划、措施。</w:t>
      </w:r>
    </w:p>
    <w:p w14:paraId="00A820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10.3承包人应达到的项目质量目标</w:t>
      </w:r>
    </w:p>
    <w:p w14:paraId="5570B1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（1）设计质量目标</w:t>
      </w:r>
    </w:p>
    <w:p w14:paraId="3A6074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方案优化、指标先进、严格评审、供图及时、设计变更率≯5%。</w:t>
      </w:r>
    </w:p>
    <w:p w14:paraId="51AB89F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（2）设备质量目标</w:t>
      </w:r>
    </w:p>
    <w:p w14:paraId="740AC19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选型合理、技术可靠、严格监造、供货及时、设备缺陷率≯3%。</w:t>
      </w:r>
    </w:p>
    <w:p w14:paraId="1563A0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（3）施工质量目标</w:t>
      </w:r>
    </w:p>
    <w:p w14:paraId="3C8133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1）土建工程：</w:t>
      </w:r>
    </w:p>
    <w:p w14:paraId="79623A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单位工程合格率100％</w:t>
      </w:r>
    </w:p>
    <w:p w14:paraId="3A2465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分项工程合格率100％。</w:t>
      </w:r>
    </w:p>
    <w:p w14:paraId="1887325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钢筋焊接一检合格率≥筋焊％。</w:t>
      </w:r>
    </w:p>
    <w:p w14:paraId="5F9894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砼强度合格率100％。</w:t>
      </w:r>
    </w:p>
    <w:p w14:paraId="1537D2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砼生产水平优良级。</w:t>
      </w:r>
    </w:p>
    <w:p w14:paraId="40309A6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2）安装工程：</w:t>
      </w:r>
    </w:p>
    <w:p w14:paraId="732687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分项工程合格率100％。</w:t>
      </w:r>
    </w:p>
    <w:p w14:paraId="196A47B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分项工程优良率≥项工％。</w:t>
      </w:r>
    </w:p>
    <w:p w14:paraId="7C5576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分部工程合格率100％。</w:t>
      </w:r>
    </w:p>
    <w:p w14:paraId="5DADDE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分部工程优良率≥部工％。</w:t>
      </w:r>
    </w:p>
    <w:p w14:paraId="1809FA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单位工程合格率100％。</w:t>
      </w:r>
    </w:p>
    <w:p w14:paraId="419513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单位工程优良率≥位工％。</w:t>
      </w:r>
    </w:p>
    <w:p w14:paraId="23972B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受检焊接接头一检合格率≥检焊％。</w:t>
      </w:r>
    </w:p>
    <w:p w14:paraId="312A7D0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（4）调试质量目标</w:t>
      </w:r>
    </w:p>
    <w:p w14:paraId="394273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保护装置、主要仪表投入率100％。</w:t>
      </w:r>
    </w:p>
    <w:p w14:paraId="33DCC2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自动投入率100％。</w:t>
      </w:r>
    </w:p>
    <w:p w14:paraId="15E4A0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试运项目验收优良率≥运项％。</w:t>
      </w:r>
    </w:p>
    <w:p w14:paraId="68A00F8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整体投运一次成功。</w:t>
      </w:r>
    </w:p>
    <w:p w14:paraId="4ACB36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10.4项目质量管理网络</w:t>
      </w:r>
    </w:p>
    <w:p w14:paraId="3BBC93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10.5工程项目检验、试验的计划</w:t>
      </w:r>
    </w:p>
    <w:p w14:paraId="03859B8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（1）项目质量控制计划</w:t>
      </w:r>
    </w:p>
    <w:p w14:paraId="59DFB1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（2）工程质量验收和评定项目划分表</w:t>
      </w:r>
    </w:p>
    <w:p w14:paraId="77C9CDA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10.6工程项目检验、试验的实施</w:t>
      </w:r>
    </w:p>
    <w:p w14:paraId="203A1F5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10.7项目质量控制</w:t>
      </w:r>
    </w:p>
    <w:p w14:paraId="4633B3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（1）设计质量控制措施（如果有技术支持方还需单独提供该项目的质保措施；如果是合作投标，还需提供合作方的质保措施和承诺）</w:t>
      </w:r>
    </w:p>
    <w:p w14:paraId="32B4B40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（2）采购质量控制措施</w:t>
      </w:r>
    </w:p>
    <w:p w14:paraId="6EC75F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（3）施工质量控制措施</w:t>
      </w:r>
    </w:p>
    <w:p w14:paraId="00A644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（4）调试质量控制措施</w:t>
      </w:r>
    </w:p>
    <w:p w14:paraId="463604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11．职业健康安全管理和环境管理</w:t>
      </w:r>
    </w:p>
    <w:p w14:paraId="556E56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11.1目标</w:t>
      </w:r>
    </w:p>
    <w:p w14:paraId="2FD5EA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由承包人提出并征求发包人的同意。承包人应贯彻“安全第一，预防为主”的方针和“安全为天”的管理思想，提高工程建设过程安健环管理水平，保障职工在劳动过程中的安全与健康。根据地方承包工程的有关安全环保管理规定、原国家电力公司有关安全环保文件和国家有关法律法规的规定，努力创建安全文明施工样板工程；</w:t>
      </w:r>
    </w:p>
    <w:p w14:paraId="72E84F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11.2可操作性程序文件清单</w:t>
      </w:r>
    </w:p>
    <w:p w14:paraId="12A87AA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11.2.1承包人应结合工程实际情况，提供符合ISO14001：1996环境管理体系要求的环境管理体系文件；</w:t>
      </w:r>
    </w:p>
    <w:p w14:paraId="541846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11.2.2承包人应结合工程实际情况，提供符合GB/T28001：2001职业健康安全管理体系或（OSHMS）职业安全健康管理体系审核标准要求的安全健康管理体系文件。</w:t>
      </w:r>
    </w:p>
    <w:p w14:paraId="384337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11.3项目职业安全、健康重大危险因素清单和重大环境因素清单</w:t>
      </w:r>
    </w:p>
    <w:p w14:paraId="62FC312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11.4项目健康安全管理措施和环境管理措施</w:t>
      </w:r>
    </w:p>
    <w:p w14:paraId="10A276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11.5项目职业健康安全管理和环境管理网络</w:t>
      </w:r>
    </w:p>
    <w:p w14:paraId="21B5441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12．文明施工</w:t>
      </w:r>
    </w:p>
    <w:p w14:paraId="7CDB28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12.1文明施工的总目标</w:t>
      </w:r>
    </w:p>
    <w:p w14:paraId="59F9D0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由承包人提出并征求发包人的同意。</w:t>
      </w:r>
    </w:p>
    <w:p w14:paraId="7350C7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12.2文明施工管理组织机构</w:t>
      </w:r>
    </w:p>
    <w:p w14:paraId="5102CA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12.3文明施工的规划措施</w:t>
      </w:r>
    </w:p>
    <w:p w14:paraId="3FF95A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12.4文明施工的实施</w:t>
      </w:r>
    </w:p>
    <w:p w14:paraId="3202410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13．项目施工技术管理</w:t>
      </w:r>
    </w:p>
    <w:p w14:paraId="104B26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39" w:name="_Toc79760546"/>
      <w:r>
        <w:rPr>
          <w:rFonts w:hint="default" w:ascii="Calibri" w:hAnsi="Calibri" w:cs="Calibri"/>
          <w:color w:val="000000"/>
          <w:sz w:val="24"/>
          <w:szCs w:val="24"/>
        </w:rPr>
        <w:t>13.1施工技术责任制度</w:t>
      </w:r>
      <w:bookmarkEnd w:id="1139"/>
    </w:p>
    <w:p w14:paraId="59131F2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各级技术负责人的职责。</w:t>
      </w:r>
    </w:p>
    <w:p w14:paraId="1542E7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13.2施工组织设计的编制规定</w:t>
      </w:r>
    </w:p>
    <w:p w14:paraId="3D696DF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应严格按照经审定的《施工组织设计大纲》的范围和深度要求编制针对工程特点的施工组织设计及按原协调公司规定制定的消除质量通病的措施，提交包括临时设施和施工道路的施工总布置图及其他必需的图表、文字说明书等资料。</w:t>
      </w:r>
    </w:p>
    <w:p w14:paraId="224834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13.3施工技术措施、方案编制、报批和管理规定</w:t>
      </w:r>
    </w:p>
    <w:p w14:paraId="2867981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13.4设计变更管理规定</w:t>
      </w:r>
    </w:p>
    <w:p w14:paraId="0B7E27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13.5金属技术监督管理规定</w:t>
      </w:r>
    </w:p>
    <w:p w14:paraId="31D9AE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13.6特殊施工过程（焊接和防腐）管理规定</w:t>
      </w:r>
    </w:p>
    <w:p w14:paraId="385C59C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13.7工程竣工资料移交管理规定</w:t>
      </w:r>
    </w:p>
    <w:p w14:paraId="67BE0D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14．与发包人有关的主要工作</w:t>
      </w:r>
    </w:p>
    <w:p w14:paraId="3021AE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40" w:name="_Toc79760547"/>
      <w:r>
        <w:rPr>
          <w:rFonts w:hint="default" w:ascii="Calibri" w:hAnsi="Calibri" w:cs="Calibri"/>
          <w:color w:val="000000"/>
          <w:sz w:val="24"/>
          <w:szCs w:val="24"/>
        </w:rPr>
        <w:t>14.1发包人确认的主要工作</w:t>
      </w:r>
      <w:bookmarkEnd w:id="1140"/>
    </w:p>
    <w:p w14:paraId="45E7AAD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（1）工程司令图。</w:t>
      </w:r>
    </w:p>
    <w:p w14:paraId="23B1384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（2）重要设备制造商和关键零部件制造商的选择。</w:t>
      </w:r>
    </w:p>
    <w:p w14:paraId="38BDEBD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（3）（建筑、安装、试运等）施工分包方的选择。</w:t>
      </w:r>
    </w:p>
    <w:p w14:paraId="1C134B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（4）工程综合进度网络计划。</w:t>
      </w:r>
    </w:p>
    <w:p w14:paraId="7C05C9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（5）工程款支付计划。</w:t>
      </w:r>
    </w:p>
    <w:p w14:paraId="3D9214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（6）施工组织设计和重要施工方案、调试大纲和主要调试方案。</w:t>
      </w:r>
    </w:p>
    <w:p w14:paraId="38DAC8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（7）工程竣工签证。</w:t>
      </w:r>
    </w:p>
    <w:p w14:paraId="62BBD3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（8）项目管理计划。</w:t>
      </w:r>
    </w:p>
    <w:p w14:paraId="589B95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14.2发包人参加的主要工作</w:t>
      </w:r>
    </w:p>
    <w:p w14:paraId="46976EB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（1）对工程重要设备制造商的调研。</w:t>
      </w:r>
    </w:p>
    <w:p w14:paraId="0BAC08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（2）工程重要设备采购的招标（技术部分）。</w:t>
      </w:r>
    </w:p>
    <w:p w14:paraId="3CFBE9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（3）工程施工分包的招标（技术部分）。</w:t>
      </w:r>
    </w:p>
    <w:p w14:paraId="1E29D3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（4）工程设计联络会。</w:t>
      </w:r>
    </w:p>
    <w:p w14:paraId="0D094F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（5）工程协调例会，工程技术专题会。</w:t>
      </w:r>
    </w:p>
    <w:p w14:paraId="1CF5BE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（6）单位工程的质量检验及评定。</w:t>
      </w:r>
    </w:p>
    <w:p w14:paraId="4B86EE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（7）调试措施的讨论。</w:t>
      </w:r>
    </w:p>
    <w:p w14:paraId="07D74A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（8）工程的调整试运质量检验及评定。</w:t>
      </w:r>
    </w:p>
    <w:p w14:paraId="6978EE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（9）工程竣工检验及评定。</w:t>
      </w:r>
    </w:p>
    <w:p w14:paraId="35EDD3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41" w:name="_Toc79760548"/>
      <w:r>
        <w:rPr>
          <w:rFonts w:hint="default" w:ascii="Calibri" w:hAnsi="Calibri" w:cs="Calibri"/>
          <w:color w:val="000000"/>
          <w:sz w:val="24"/>
          <w:szCs w:val="24"/>
        </w:rPr>
        <w:t>14.3发包人采购的设备</w:t>
      </w:r>
      <w:bookmarkEnd w:id="1141"/>
    </w:p>
    <w:p w14:paraId="0ED4F68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14.4对发包人有关人员的培训交底工作</w:t>
      </w:r>
    </w:p>
    <w:p w14:paraId="0B4931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735320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Calibri" w:hAnsi="Calibri" w:cs="Calibri"/>
          <w:color w:val="000000"/>
          <w:sz w:val="24"/>
          <w:szCs w:val="24"/>
        </w:rPr>
        <w:br w:type="page"/>
      </w:r>
      <w:r>
        <w:rPr>
          <w:rFonts w:hint="default" w:ascii="Calibri" w:hAnsi="Calibri" w:cs="Calibri"/>
          <w:color w:val="000000"/>
          <w:sz w:val="24"/>
          <w:szCs w:val="24"/>
        </w:rPr>
        <w:t> </w:t>
      </w:r>
      <w:bookmarkStart w:id="1142" w:name="_Toc4410"/>
      <w:bookmarkStart w:id="1143" w:name="_Toc79760549"/>
      <w:bookmarkStart w:id="1144" w:name="_Toc6685"/>
      <w:bookmarkStart w:id="1145" w:name="_Toc13073"/>
      <w:bookmarkStart w:id="1146" w:name="_Toc67789111"/>
      <w:bookmarkStart w:id="1147" w:name="_Toc13444"/>
      <w:r>
        <w:rPr>
          <w:rFonts w:hint="eastAsia" w:ascii="黑体" w:hAnsi="宋体" w:eastAsia="黑体" w:cs="黑体"/>
          <w:color w:val="000000"/>
          <w:sz w:val="28"/>
          <w:szCs w:val="28"/>
        </w:rPr>
        <w:t>技术文件附件</w:t>
      </w:r>
      <w:r>
        <w:rPr>
          <w:rFonts w:hint="default" w:ascii="Calibri" w:hAnsi="Calibri" w:cs="Calibri"/>
          <w:color w:val="000000"/>
          <w:sz w:val="28"/>
          <w:szCs w:val="28"/>
        </w:rPr>
        <w:t>八：差异表（技术部分）</w:t>
      </w:r>
      <w:bookmarkEnd w:id="1142"/>
      <w:bookmarkEnd w:id="1143"/>
      <w:bookmarkEnd w:id="1144"/>
      <w:bookmarkEnd w:id="1145"/>
      <w:bookmarkEnd w:id="1146"/>
      <w:bookmarkEnd w:id="1147"/>
    </w:p>
    <w:p w14:paraId="33B948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承包人按照下表格式将技术部分的差异列于此。</w:t>
      </w:r>
    </w:p>
    <w:p w14:paraId="053593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9"/>
        <w:jc w:val="center"/>
      </w:pPr>
      <w:r>
        <w:rPr>
          <w:rFonts w:hint="default" w:ascii="Calibri" w:hAnsi="Calibri" w:cs="Calibri"/>
          <w:b/>
          <w:bCs/>
          <w:color w:val="000000"/>
          <w:sz w:val="24"/>
          <w:szCs w:val="24"/>
        </w:rPr>
        <w:t>表7.附八-1差异表（技术部分）</w:t>
      </w:r>
    </w:p>
    <w:tbl>
      <w:tblPr>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autofit"/>
        <w:tblCellMar>
          <w:top w:w="0" w:type="dxa"/>
          <w:left w:w="28" w:type="dxa"/>
          <w:bottom w:w="0" w:type="dxa"/>
          <w:right w:w="28" w:type="dxa"/>
        </w:tblCellMar>
      </w:tblPr>
      <w:tblGrid>
        <w:gridCol w:w="981"/>
        <w:gridCol w:w="1275"/>
        <w:gridCol w:w="2276"/>
        <w:gridCol w:w="1268"/>
        <w:gridCol w:w="2580"/>
      </w:tblGrid>
      <w:tr w14:paraId="51E74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vMerge w:val="restart"/>
            <w:tcBorders>
              <w:top w:val="single" w:color="000000" w:sz="12" w:space="0"/>
              <w:left w:val="single" w:color="000000" w:sz="12" w:space="0"/>
              <w:bottom w:val="single" w:color="000000" w:sz="6" w:space="0"/>
              <w:right w:val="single" w:color="000000" w:sz="6" w:space="0"/>
            </w:tcBorders>
            <w:shd w:val="clear"/>
            <w:tcMar>
              <w:left w:w="108" w:type="dxa"/>
              <w:right w:w="108" w:type="dxa"/>
            </w:tcMar>
            <w:vAlign w:val="center"/>
          </w:tcPr>
          <w:p w14:paraId="0B205F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24"/>
                <w:szCs w:val="24"/>
                <w:bdr w:val="none" w:color="auto" w:sz="0" w:space="0"/>
              </w:rPr>
              <w:t>序号</w:t>
            </w:r>
          </w:p>
        </w:tc>
        <w:tc>
          <w:tcPr>
            <w:tcW w:w="3551" w:type="dxa"/>
            <w:gridSpan w:val="2"/>
            <w:tcBorders>
              <w:top w:val="single" w:color="000000" w:sz="12" w:space="0"/>
              <w:left w:val="single" w:color="000000" w:sz="6" w:space="0"/>
              <w:bottom w:val="single" w:color="000000" w:sz="6" w:space="0"/>
              <w:right w:val="single" w:color="000000" w:sz="6" w:space="0"/>
            </w:tcBorders>
            <w:shd w:val="clear"/>
            <w:tcMar>
              <w:left w:w="108" w:type="dxa"/>
              <w:right w:w="108" w:type="dxa"/>
            </w:tcMar>
            <w:vAlign w:val="center"/>
          </w:tcPr>
          <w:p w14:paraId="7BF01C7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招标文件要求</w:t>
            </w:r>
          </w:p>
        </w:tc>
        <w:tc>
          <w:tcPr>
            <w:tcW w:w="3848" w:type="dxa"/>
            <w:gridSpan w:val="2"/>
            <w:tcBorders>
              <w:top w:val="single" w:color="000000" w:sz="12" w:space="0"/>
              <w:left w:val="single" w:color="000000" w:sz="6" w:space="0"/>
              <w:bottom w:val="single" w:color="000000" w:sz="6" w:space="0"/>
              <w:right w:val="single" w:color="000000" w:sz="12" w:space="0"/>
            </w:tcBorders>
            <w:shd w:val="clear"/>
            <w:tcMar>
              <w:left w:w="108" w:type="dxa"/>
              <w:right w:w="108" w:type="dxa"/>
            </w:tcMar>
            <w:vAlign w:val="center"/>
          </w:tcPr>
          <w:p w14:paraId="06AD646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投标文件响应和偏差</w:t>
            </w:r>
          </w:p>
        </w:tc>
      </w:tr>
      <w:tr w14:paraId="78A07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vMerge w:val="continue"/>
            <w:tcBorders>
              <w:top w:val="single" w:color="000000" w:sz="12" w:space="0"/>
              <w:left w:val="single" w:color="000000" w:sz="12" w:space="0"/>
              <w:bottom w:val="single" w:color="000000" w:sz="6" w:space="0"/>
              <w:right w:val="single" w:color="000000" w:sz="6" w:space="0"/>
            </w:tcBorders>
            <w:shd w:val="clear"/>
            <w:tcMar>
              <w:left w:w="108" w:type="dxa"/>
              <w:right w:w="108" w:type="dxa"/>
            </w:tcMar>
            <w:vAlign w:val="center"/>
          </w:tcPr>
          <w:p w14:paraId="6AD4DC79">
            <w:pPr>
              <w:rPr>
                <w:rFonts w:hint="eastAsia" w:ascii="宋体"/>
                <w:sz w:val="24"/>
                <w:szCs w:val="24"/>
              </w:rPr>
            </w:pP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074E204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条目</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0B324F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简要内容</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62AA52F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条目</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41D1B48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简要内容</w:t>
            </w:r>
          </w:p>
        </w:tc>
      </w:tr>
      <w:tr w14:paraId="75FB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nil"/>
              <w:left w:val="single" w:color="000000" w:sz="12" w:space="0"/>
              <w:bottom w:val="single" w:color="000000" w:sz="6" w:space="0"/>
              <w:right w:val="single" w:color="000000" w:sz="6" w:space="0"/>
            </w:tcBorders>
            <w:shd w:val="clear"/>
            <w:tcMar>
              <w:left w:w="108" w:type="dxa"/>
              <w:right w:w="108" w:type="dxa"/>
            </w:tcMar>
            <w:vAlign w:val="center"/>
          </w:tcPr>
          <w:p w14:paraId="4E9FCD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一</w:t>
            </w:r>
          </w:p>
        </w:tc>
        <w:tc>
          <w:tcPr>
            <w:tcW w:w="7399" w:type="dxa"/>
            <w:gridSpan w:val="4"/>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4D62B7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技术要求部分</w:t>
            </w:r>
          </w:p>
        </w:tc>
      </w:tr>
      <w:tr w14:paraId="0DC04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7B6A86D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1</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7D0678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612104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4020C9E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51FCC0C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2754B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4843760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2</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7C6ECD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39A7552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10AB91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6C26FA6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6C7EE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01C93C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3762316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6188F0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128903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042F78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11F8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0BE48F4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二</w:t>
            </w:r>
          </w:p>
        </w:tc>
        <w:tc>
          <w:tcPr>
            <w:tcW w:w="7399" w:type="dxa"/>
            <w:gridSpan w:val="4"/>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012CEB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性能指标部分</w:t>
            </w:r>
          </w:p>
        </w:tc>
      </w:tr>
      <w:tr w14:paraId="39129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56AB0E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1</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31A7C66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423962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7E6633C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2AABB5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6B58A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60CAAFE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2</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276E9D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2F980F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2EE3DF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4E9177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1850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2792898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19E89C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413B0EB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2042994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4D08B8D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045B4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0CA5CB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三</w:t>
            </w:r>
          </w:p>
        </w:tc>
        <w:tc>
          <w:tcPr>
            <w:tcW w:w="7399" w:type="dxa"/>
            <w:gridSpan w:val="4"/>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1A2F20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供货范围部分</w:t>
            </w:r>
          </w:p>
        </w:tc>
      </w:tr>
      <w:tr w14:paraId="0C3D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196541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1</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119AFA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7C4CA4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6060EE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1AF7F48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0C19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4A53373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2</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674E87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0E88E0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65E925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14D753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1302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5DDCFE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3F4D38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3A90F2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01239DF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61FC41B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1A4D9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24537F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四</w:t>
            </w:r>
          </w:p>
        </w:tc>
        <w:tc>
          <w:tcPr>
            <w:tcW w:w="7399" w:type="dxa"/>
            <w:gridSpan w:val="4"/>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6A0116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交货进度部分</w:t>
            </w:r>
          </w:p>
        </w:tc>
      </w:tr>
      <w:tr w14:paraId="477E1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527ED1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1</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4BF22C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7225AE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1D00CF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54861B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6898F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12AF8E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2</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087B7CC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44D4C9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3F15EF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3A17EFA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r w14:paraId="487C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28" w:type="dxa"/>
            <w:bottom w:w="0" w:type="dxa"/>
            <w:right w:w="28" w:type="dxa"/>
          </w:tblCellMar>
        </w:tblPrEx>
        <w:trPr>
          <w:tblCellSpacing w:w="0" w:type="dxa"/>
          <w:jc w:val="center"/>
        </w:trPr>
        <w:tc>
          <w:tcPr>
            <w:tcW w:w="823"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14:paraId="5F0308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00"/>
                <w:sz w:val="24"/>
                <w:szCs w:val="24"/>
                <w:bdr w:val="none" w:color="auto" w:sz="0" w:space="0"/>
              </w:rPr>
              <w:t>…</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3DDBC1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276"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5878DDB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1268"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735BB6A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c>
          <w:tcPr>
            <w:tcW w:w="2580"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14:paraId="748A74C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bdr w:val="none" w:color="auto" w:sz="0" w:space="0"/>
              </w:rPr>
              <w:t> </w:t>
            </w:r>
          </w:p>
        </w:tc>
      </w:tr>
    </w:tbl>
    <w:p w14:paraId="5F872D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0C4145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Calibri" w:hAnsi="Calibri" w:cs="Calibri"/>
          <w:color w:val="000000"/>
          <w:sz w:val="24"/>
          <w:szCs w:val="24"/>
        </w:rPr>
        <w:br w:type="page"/>
      </w:r>
      <w:r>
        <w:rPr>
          <w:rFonts w:hint="default" w:ascii="Calibri" w:hAnsi="Calibri" w:cs="Calibri"/>
          <w:color w:val="000000"/>
          <w:sz w:val="24"/>
          <w:szCs w:val="24"/>
        </w:rPr>
        <w:t> </w:t>
      </w:r>
      <w:bookmarkStart w:id="1148" w:name="_Toc4261"/>
      <w:bookmarkStart w:id="1149" w:name="_Toc19695"/>
      <w:bookmarkStart w:id="1150" w:name="_Toc13650"/>
      <w:bookmarkStart w:id="1151" w:name="_Toc67789112"/>
      <w:bookmarkStart w:id="1152" w:name="_Toc79760550"/>
      <w:bookmarkStart w:id="1153" w:name="_Toc4079"/>
      <w:r>
        <w:rPr>
          <w:rFonts w:hint="eastAsia" w:ascii="黑体" w:hAnsi="宋体" w:eastAsia="黑体" w:cs="黑体"/>
          <w:color w:val="000000"/>
          <w:sz w:val="28"/>
          <w:szCs w:val="28"/>
        </w:rPr>
        <w:t>技术文件附件</w:t>
      </w:r>
      <w:r>
        <w:rPr>
          <w:rFonts w:hint="default" w:ascii="Calibri" w:hAnsi="Calibri" w:cs="Calibri"/>
          <w:color w:val="000000"/>
          <w:sz w:val="28"/>
          <w:szCs w:val="28"/>
        </w:rPr>
        <w:t>九：安全和文明施工要求</w:t>
      </w:r>
      <w:bookmarkEnd w:id="1148"/>
      <w:bookmarkEnd w:id="1149"/>
      <w:bookmarkEnd w:id="1150"/>
      <w:bookmarkEnd w:id="1151"/>
      <w:bookmarkEnd w:id="1152"/>
      <w:bookmarkEnd w:id="1153"/>
    </w:p>
    <w:p w14:paraId="336112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center"/>
      </w:pPr>
      <w:r>
        <w:rPr>
          <w:rFonts w:hint="default" w:ascii="Calibri" w:hAnsi="Calibri" w:cs="Calibri"/>
          <w:color w:val="000000"/>
          <w:sz w:val="28"/>
          <w:szCs w:val="28"/>
        </w:rPr>
        <w:t>安全和文明施工管理</w:t>
      </w:r>
    </w:p>
    <w:p w14:paraId="0350920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54" w:name="_Toc79760551"/>
      <w:r>
        <w:rPr>
          <w:rFonts w:hint="default" w:ascii="Calibri" w:hAnsi="Calibri" w:cs="Calibri"/>
          <w:color w:val="000000"/>
          <w:sz w:val="24"/>
          <w:szCs w:val="24"/>
        </w:rPr>
        <w:t>1．总则</w:t>
      </w:r>
      <w:bookmarkEnd w:id="1154"/>
    </w:p>
    <w:p w14:paraId="2AC0D2A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为贯彻“安全第一，预防为主，综合治理”的方针，承包人需在工程实施过程中履行安全文明施工责任、权利和义务，确保施工安全。根据国家和地方有关法律法规和规章关于安全生产的规定，以及业主单位的各项规定，全面落实安全生产和文明施工责任，提高工程建设过程安全和文明施工水平，保障职工在劳动过程中的安全与健康。</w:t>
      </w:r>
    </w:p>
    <w:p w14:paraId="3BCC39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1.2本工程安全文明施工管理目标：</w:t>
      </w:r>
    </w:p>
    <w:p w14:paraId="60C0ED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（1）杜绝重伤及以上事故；</w:t>
      </w:r>
    </w:p>
    <w:p w14:paraId="61871D7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（2）杜绝重大机械设备事故；</w:t>
      </w:r>
    </w:p>
    <w:p w14:paraId="45D034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（3）杜绝重大火灾事故；</w:t>
      </w:r>
    </w:p>
    <w:p w14:paraId="1C7D5D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（4）杜绝负主要责任的重大交通事故；</w:t>
      </w:r>
    </w:p>
    <w:p w14:paraId="0ACEB63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（5）不发生环境污染事故和重大垮（坍）塌事故；</w:t>
      </w:r>
    </w:p>
    <w:p w14:paraId="1B2209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（6）杜绝重复发生相同性质的事故。</w:t>
      </w:r>
    </w:p>
    <w:p w14:paraId="482E92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2．业主方、承包人认真贯彻并严格执行以下法律、标准和条款：</w:t>
      </w:r>
    </w:p>
    <w:p w14:paraId="42255A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（1）《中华人民共和国安全生产法》；</w:t>
      </w:r>
    </w:p>
    <w:p w14:paraId="3271F1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（2）《建设工程安全生产管理条例》；</w:t>
      </w:r>
    </w:p>
    <w:p w14:paraId="3D3FA2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（3）《电力建设安全工作规程》；</w:t>
      </w:r>
    </w:p>
    <w:p w14:paraId="3CCC550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（4）《电力建设文明施工规定及考核办法》；</w:t>
      </w:r>
    </w:p>
    <w:p w14:paraId="512079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（5）《光伏电站或相应达标投产考核标准（最新版）》；</w:t>
      </w:r>
    </w:p>
    <w:p w14:paraId="478D9A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（6）《电力建设安全健康与环境管理工作规定》；</w:t>
      </w:r>
    </w:p>
    <w:p w14:paraId="4FDEF9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（7）国家和地方有关安全生产的法律法规和规章，部、委、各级政府部门和上级主管部门颁发的有关安全生产和环境保护工作的法令、法规、规定、制度；</w:t>
      </w:r>
    </w:p>
    <w:p w14:paraId="2BA2B0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（8）业主方有关安全文明施工及环境保护的规定、制度。</w:t>
      </w:r>
    </w:p>
    <w:p w14:paraId="3B1E12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3．业主方的要求</w:t>
      </w:r>
    </w:p>
    <w:p w14:paraId="207D4C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3.1业主方应有健全的生产监督管理机构（或安全管理组织体系），包括具体负责安全生产的领导，认真履行安全审查、监督、验收等安全职责。</w:t>
      </w:r>
    </w:p>
    <w:p w14:paraId="573892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3.2业主方的职能业务管理部门必须认真对本工程有关施工人员进行安全生产制度及安全技术知识教育，增强职工法制观念，增强职工安全思想意识和自我保护能力，督促职工自觉遵守安全生产纪律、制度和法规。</w:t>
      </w:r>
    </w:p>
    <w:p w14:paraId="0FD0954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3.3业主方按有关规定对承包人的资质进行审查，以确认承包人承包的工程与其资质相符合。</w:t>
      </w:r>
    </w:p>
    <w:p w14:paraId="498C342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3.4工程（项目）施工前，业主方应对承包人施工人员进行安全生产进场教育，介绍施工中有关安全、防火等要求，以增强承包人员工的安全思想意识和自我保护能力，增强法制观念。对承包人在施工中新进、增添的施工人员，业主方应组织进行安全生产进场教育，未经业主方安全生产进场教育培训的承包人员工不得进场施工，但业主方对承包人人员的安全生产进场教育并不免除4.11条承包人根据业主方的要求对进场人员进行安全施工教育、考核并向业主方安监部门备案的义务。</w:t>
      </w:r>
    </w:p>
    <w:p w14:paraId="506EA5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3.5业主方有权对承包人实施的安全教育和考试的情况进行抽查或抽考，不合格者禁止进入现场施工。</w:t>
      </w:r>
    </w:p>
    <w:p w14:paraId="1870A3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3.6业主方在工程（项目）施工前应认真审核承包人开工报告、施工组织设计、作业指导书、施工方案、安全生产规章制度及操作规程等相关文件，根据工程（项目）内容、特点进行全面的安全技术交底，详细向承包人说明本工程项目施工日期、特点要求、危险因素及安全风险。对有可能发生火灾、爆炸、触电、高空坠落、中毒、窒息、机械伤害、烧烫伤等危及人身安全或引起严重设备事故的施工，业主方应事先向承包人进行详细的安全技术交底，要求承包人制订书面的施工安全技术措施，经业主方审查合格后由承包人实施，业主方应监督承包人实施。</w:t>
      </w:r>
    </w:p>
    <w:p w14:paraId="76BFCC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3.7业主方对地下管线和障碍物应向承包人做详细的书面交底，明确施工方法，承包人必须严格遵守。</w:t>
      </w:r>
    </w:p>
    <w:p w14:paraId="6F834D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3.8施工期间，业主方指派同志负责联系、检查、督促承包人执行有关安全、防火规定。业主方应经常联系承包人，相互协助检查和处理工程施工中有关的安全、防火工作，预防事故发生。</w:t>
      </w:r>
    </w:p>
    <w:p w14:paraId="73A94D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3.9当承包人出现安全、文明施工严重失控或有严重失控危险时，业主方认为确实有必要暂停施工的，应当以口头或书面形式要求承包人暂停施工，并提出书面整改意见，限期整改、直到清退出场，承包人在收到暂停施工通知后应立刻无条件停工，并按照业主方整改意见中规定的限期整改，未能按期完成整改或整改不合格的，业主方有权将承包人清退出场。由此引起的一切后果和损失（包括业主方重新招标、工程时间延期损失等）由承包人负责。当承包人完成整改处理意见并以书面形式提出开工要求后，业主方应当在48个小时内组织验收，并于验收合格后签字给予答复。</w:t>
      </w:r>
    </w:p>
    <w:p w14:paraId="4488C7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承包人发生以下情况时，业主方有权对承包人进行停工整顿直至解除合同：</w:t>
      </w:r>
    </w:p>
    <w:p w14:paraId="1FD595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（1）发生人身伤亡事故或严重隐患；</w:t>
      </w:r>
    </w:p>
    <w:p w14:paraId="00CFB28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（2）发生施工机械、生产主设备严重损坏事故或严重隐患；</w:t>
      </w:r>
    </w:p>
    <w:p w14:paraId="739F4D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（3）发生施工区域内建筑物火灾、火险事故或严重隐患；</w:t>
      </w:r>
    </w:p>
    <w:p w14:paraId="572F92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（4）重复发生相同性质的安全事故；</w:t>
      </w:r>
    </w:p>
    <w:p w14:paraId="6883559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（5）多次不听从劝告，施工现场脏、乱、差、不能满足业主方制定的安全和文明施工规章、制度的要求。</w:t>
      </w:r>
    </w:p>
    <w:p w14:paraId="52975F8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3.10由业主方提供的机械设备、安全设施，在安装完毕提交使用前，业主方应配合承包人共同按规定验收，并做好验收及交付使用的书面手续。</w:t>
      </w:r>
    </w:p>
    <w:p w14:paraId="7F8E0A8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3.11业主方不得指派承包人人员从事协议外的施工任务。</w:t>
      </w:r>
    </w:p>
    <w:p w14:paraId="6EB1BD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3.12业主方对承包人在施工过程中提出的疑问应及时解答或予以落实解决。</w:t>
      </w:r>
    </w:p>
    <w:p w14:paraId="7B78A6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3.13对承包人违反业主方厂纪厂规（如有）的行为，业主方有权按照业主方相关规定进行处罚。</w:t>
      </w:r>
    </w:p>
    <w:p w14:paraId="38E3E50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3.14业主方未履行本条规定的各项义务和责任，属业主方违约，但并不因此免除承包人在本合同项下的任何责任与义务。</w:t>
      </w:r>
    </w:p>
    <w:p w14:paraId="4662F0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3.15业主方有权召开安全文明例会，并要求承包人参加和整改，有权定期组织安全文明施工联合检查。</w:t>
      </w:r>
    </w:p>
    <w:p w14:paraId="45B6F2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55" w:name="_Toc79760552"/>
      <w:r>
        <w:rPr>
          <w:rFonts w:hint="default" w:ascii="Calibri" w:hAnsi="Calibri" w:cs="Calibri"/>
          <w:color w:val="000000"/>
          <w:sz w:val="24"/>
          <w:szCs w:val="24"/>
        </w:rPr>
        <w:t>4．承包人安全文明施工要求</w:t>
      </w:r>
      <w:bookmarkEnd w:id="1155"/>
    </w:p>
    <w:p w14:paraId="73DAB4D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4.1承包人除应严格遵守第2款所列的法律法规外，还应严格遵守业主方《承包人须知手册》的相关规定。</w:t>
      </w:r>
    </w:p>
    <w:p w14:paraId="5BF381D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承包人法定代表人（或委托代理人）是本工程的安全工作的第一责任人，对本要求所有施工项目的实施过程中涉及的安全负责，对派遣的工作人员，编制的《施工方案》《作业指导书》《应急预案》，以及提供的工程车辆、施工机械、施工用电的安全负责，并保证所派遣的工作人员具有完成所指派工作的安全知识和能力。</w:t>
      </w:r>
    </w:p>
    <w:p w14:paraId="52F6B7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4.3承包人应有健全的安全管理组织体系，包括具体负责安全生产的领导。承包人必须配有专职安全员，安全员应持有相应上岗证书或资格证书。</w:t>
      </w:r>
    </w:p>
    <w:p w14:paraId="6DCD3D9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4.4承包人指定同志为本工程（项目）专职安全员，负责施工现场及施工过程的安全管理，检查和处理工程施工中有关的安全、防火工作，预防事故发生。安全员须经考核，有相应上岗证书或资质证书。承包人应经常联系业主方，相互协助工作。</w:t>
      </w:r>
    </w:p>
    <w:p w14:paraId="2CC89D9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4.5承包人应有完善的安全管理制度，包括各工种的安全操作规程、特种作业人员资格证书管理制度、各岗位安全责任制和定期安全检查、安全教育制度等，并根据本工程的特点及业主方要求，进行修订并提交业主方备案。</w:t>
      </w:r>
    </w:p>
    <w:p w14:paraId="6DD8D98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4.6承包人必须实施安全健康和环境风险预控管理，并依据工程项目风险的大小，编制作业过程的危险源、环境因素分析清单和控制措施。</w:t>
      </w:r>
    </w:p>
    <w:p w14:paraId="3FF7E9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4.7承包人进场施工，必须提前15天向业主方提交参与本项目的入场人员名单及安全质量管理组织体系、企业安全资质等级、安全生产许可证等资料，经业主方安监部门审核合格后，方可办理有关入场证件和入场施工。承包人应提交业主方审核、备案的文件包括以下文件：</w:t>
      </w:r>
    </w:p>
    <w:p w14:paraId="18CF72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（1）进入施工现场人员花名册；</w:t>
      </w:r>
    </w:p>
    <w:p w14:paraId="10DF5CE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（2）进入施工现场人员身份证；</w:t>
      </w:r>
    </w:p>
    <w:p w14:paraId="7EF7B0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（3）《企业营业执照》；</w:t>
      </w:r>
    </w:p>
    <w:p w14:paraId="086DB1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（4）《企业资质证书》；</w:t>
      </w:r>
    </w:p>
    <w:p w14:paraId="4EB414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（5）《安全生产许可证》；</w:t>
      </w:r>
    </w:p>
    <w:p w14:paraId="36338C1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（6）《施工组织设计》《开工报告》；</w:t>
      </w:r>
    </w:p>
    <w:p w14:paraId="45186B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（7）《安全操作规程》《施工安全技术措施》《特种作业人员资格证书管理制度》《各岗位安全责任制》和《定期安全检查规定》《安全教育制度》《环境保护措施》《作业指导书》《应急预案》等文件；</w:t>
      </w:r>
    </w:p>
    <w:p w14:paraId="5DC059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（8）垂直运输机械作业人员、安装拆卸工、爆破作业人员、起重信号工、登高架设作业人员等特种作业人员上岗证（或资格证书）、安全员上岗证（或资格证书）；</w:t>
      </w:r>
    </w:p>
    <w:p w14:paraId="0D48999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（9）业主方要求承包人提供的其他文件。</w:t>
      </w:r>
    </w:p>
    <w:p w14:paraId="0560194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承包人提交文件要求：原件交业主方安监部门审核，复印件一式两份交业主方备案。</w:t>
      </w:r>
    </w:p>
    <w:p w14:paraId="18F529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4.8特种作业必须执行国家《特种作业人员安全技术培训考核管理规定》，承包人特种作业人员须经省、市、地区的特种作业安全技术考核站培训考核后持证上岗，并按规定定期审证，中、小型机械的作业人员必须按规定做到“定机定人”和有证操作；起重吊装作业人员严禁违章、无证操作；严禁不懂电器、机械设备的人擅自操作使用电器、机械设备。</w:t>
      </w:r>
    </w:p>
    <w:p w14:paraId="134CD63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4.9承包人应提供能证明其及其工作人员资质的合法有效证明供业主方审查。若承包人提供虚假证明，一切责任由承包人承担。</w:t>
      </w:r>
    </w:p>
    <w:p w14:paraId="5EA388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4.10承包人必须认真对所承包工程的有关施工人员进行安全生产制度及安全技术知识教育，增强员工安全思想意识和自我保护能力，增强员工法制观念，督促员工自觉遵守国家、地方和上级部门颁发的有关安全生产的法律法规和规章，制度以及厂纪厂规和标准制度。</w:t>
      </w:r>
    </w:p>
    <w:p w14:paraId="7C37B4A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4.11开工前，承包人必须对本单位人员进行安全教育和安全考试，受教育人员的名单和考试成绩必须报业主方安监部门备案，凡增补或调换人员、更换工种，必须及时进行安全教育和考试，考试成绩报业主方安监部门备案。未接受安全教育和安全考试不合格者不得进入现场施工。</w:t>
      </w:r>
    </w:p>
    <w:p w14:paraId="133CBA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4.12承包人施工人员应经考试合格后持证上岗，承包人必须检查、督促施工人员严格遵守、认真执行规章制度。承包人若在施工中要新进、增添施工人员必须向业主方提出申报，经业主方书面同意并经考试合格后才可持证上岗，未经业主方同意不得变更工作人员。承包人应对新进、增添施工人员进行全面的现场安全技术交底。</w:t>
      </w:r>
    </w:p>
    <w:p w14:paraId="3C3998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4.13承包人应向业主方提交开工单，并得到业主方审批后方可开工。</w:t>
      </w:r>
    </w:p>
    <w:p w14:paraId="0F171F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4.14承包人在施工前应认真勘察施工现场，拟订开工报告，根据业主方《施工组织设计纲要》进行施工组织设计、编制作业指导书、施工方案、危险危害因素控制措施及应急预案，并根据工程项目内容、特点对作业人员进行全面详细的安全技术交底。对于特殊环境、地下设施等，承包人应事先向业主方详细了解情况，并制定相应的施工安全技术措施，经业主方审查合格后实施。承包人必须严格按经业主方审查合格后的施工安全技术措施、施工组织设计及作业指导书组织施工。对有可能发生火灾、施工设施倒塌、爆炸、触电、中毒、窒息、机械伤害、烧烫伤等危险或会引起严重设备事故的作业，承包人应制定施工安全技术措施，如需要政府及地方有关部门审查批准的，应先行审批通过，并经业主方审查合格并备案后实施。</w:t>
      </w:r>
    </w:p>
    <w:p w14:paraId="77189F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4.15承包人的工程施工组织设计中除安全、文明生产等措施外，还应包括环境保护措施，并贯彻落实到具体工作中去，确保施工安全及生产环境不受工程施工破坏，施工过程中产生的废弃物、噪音等排放必须符合相关规定标准。由于承包人施工破坏周围环境，造成恶劣影响引发纠纷或经济赔偿等由承包人承担全部责任。</w:t>
      </w:r>
    </w:p>
    <w:p w14:paraId="469BF82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4.16承包人在施工期间必须严格遵守和执行业主方在安全施工、治安保卫方面的有关规定，接受业主方的监督、检查和指导。对于业主方查出的隐患及不符合项，承包人必须限期整改。如果业主方要求承包人违反安全管理规定进行施工，承包人有权拒绝。</w:t>
      </w:r>
    </w:p>
    <w:p w14:paraId="2EB6237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4.17当业主方认为确实有必要暂停施工并提出要求承包人暂停施工的书面意见后，承包人应当按业主方要求停止施工。承包人实施处理意见后，以书面形式向业主方提出复工要求。在业主方组织验收并签字同意后，承包人重新施工。</w:t>
      </w:r>
    </w:p>
    <w:p w14:paraId="1C32CF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4.18承包人应对所在的施工区域、作业环境、操作设施设备、工器具等进行认真检查，包括业主方委托第三方管理的公用设施，承包人发现隐患立即停止施工，并有义务和责任向业主方报告，发现隐患立即停止施工，并经落实整改后方准继续施工。</w:t>
      </w:r>
    </w:p>
    <w:p w14:paraId="49CEBD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施工区内施工道路应保持畅通，设置明显的路标，不应在路边堆放设备、材料等物品，因工程需要切断道路前，必须经业主方批准，并采取相应措施后实施，以保证正常交通。尤其要保证消防通道畅通无阻。</w:t>
      </w:r>
    </w:p>
    <w:p w14:paraId="7D92FA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4.19承包人应于每天开工前对施工现场设施（如脚手架等）进行检查，发现隐患应及时整改。</w:t>
      </w:r>
    </w:p>
    <w:p w14:paraId="762067B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施工区各类脚手架必须由专业架子工搭设和拆除，结构合理、牢固，经检查合格后挂牌，标明责任人、承载能力和使用期限。特殊类型脚手架应由专业人员提出设计，经批准后搭设。</w:t>
      </w:r>
    </w:p>
    <w:p w14:paraId="50E556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4.20一经开工，就表示承包人确认施工场所、作业环境、设施设备、工器具等符合安全要求和处于安全状态，承包人对施工过程中由于上述因素而导致的事故后果负责。</w:t>
      </w:r>
    </w:p>
    <w:p w14:paraId="2038B05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承包人施工期间应做到：</w:t>
      </w:r>
    </w:p>
    <w:p w14:paraId="72CC5E3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（1）土方工程在施工前应有切实可行的存放和弃土方案，不得随意堆放。</w:t>
      </w:r>
    </w:p>
    <w:p w14:paraId="330C56E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（2）尽量减少立体交叉作业。如必须进行立体交叉作业时应采取相应的隔离和防止高空落物、坠落的措施。</w:t>
      </w:r>
    </w:p>
    <w:p w14:paraId="72D4F2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（3）沟道、孔洞、平台、扶梯等处要有安全可靠的永久或临时栏杆或盖板，设立明显标志和安全警示牌。</w:t>
      </w:r>
    </w:p>
    <w:p w14:paraId="78C1A62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（4）严格把好设备运输、检验、存放、起吊、安装各道工序关。避免发生损坏、腐蚀及落入杂物等问题。</w:t>
      </w:r>
    </w:p>
    <w:p w14:paraId="686456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（5）施工现场道路、组合场、施工作业区要配置足够的照明设施，并根据本工程需要及时调整。配备维护人员保持正常使用。</w:t>
      </w:r>
    </w:p>
    <w:p w14:paraId="68561C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（6）施工区范围内的沟道、地面无垃圾，每个作业面都应做到“工完料尽场地清”。剩余材料要堆放整齐、可靠，废料及时清理干净。</w:t>
      </w:r>
    </w:p>
    <w:p w14:paraId="570E1A7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（7）焊接场地地面无焊条或焊条头。焊接设备尽量集中布置，统一布线，完工后焊接线、氧乙炔皮带全部收回。</w:t>
      </w:r>
    </w:p>
    <w:p w14:paraId="5F9354F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（8）应根据情况明确划分禁烟区，并设立明确禁烟标志。禁烟区内严禁吸烟，地面无烟头。禁止施工人员流动吸烟或边作业边吸烟。</w:t>
      </w:r>
    </w:p>
    <w:p w14:paraId="33FA25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（9）施工用电电源要集中布置统一接线，标志清楚，明确责任人，定期检查维护。</w:t>
      </w:r>
    </w:p>
    <w:p w14:paraId="3AF8E9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（10）施工机械要进行定期检查与保养，安全制动装置必须完善，由业主方或相关主管部门定期检验和试验合格后，发放合格证。及时消除故障，严禁带病运行。</w:t>
      </w:r>
    </w:p>
    <w:p w14:paraId="13EA46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（11）起吊机械不允许超铭牌使用，如有特殊情况需要超铭牌使用时，必须由使用部门制定详细的安全技术措施，并经总工程师批准后方可施行。</w:t>
      </w:r>
    </w:p>
    <w:p w14:paraId="1067E5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（12）不准随意在设备、结构、墙板、楼板上开孔或焊接临时结构，必要时要取得业主方主管技术人员及安监部门的认可，并出具书面通知后实施。</w:t>
      </w:r>
    </w:p>
    <w:p w14:paraId="2D6C6B2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（13）施工现场设有足够的卫生设施，有专人负责保持内部清洁。</w:t>
      </w:r>
    </w:p>
    <w:p w14:paraId="4DB972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4.21承包人在施工期间所使用的各种设备及工器具等（除另有要求外）均应由承包人自备，承包人应保证提供的设备和工器具确实完好并符合安全要求。业主方提供的各种设备及工器具等，承包人一经接收，应负责保管、维修，并严格执行安全操作规程。在使用过程中，由于设备、工器具因素或使用操作不当而造成伤亡事故，由承包人负责。严禁使用未经检验、检验已过期或验收不合格的各种设备及工器具，否则由此发生的后果概由擅自使用方负责。</w:t>
      </w:r>
    </w:p>
    <w:p w14:paraId="077A2E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4.22施工中应与带电设备保持足够的安全距离或采取可靠的安全措施，必要时应验电、放电、加挂接地线，并增设专门监护人员。各类安全防护设施、安全隔离措施、安全标志牌、警告牌和接地线等不得擅自拆除、更动。如确实需要拆除、更动的，必须经施工负责人和甲承包人指派的安全管理人员的同意，办理手续，并采取必要、可靠的安全措施后方能拆除、更动现场的上述安全防护设施。任何一方人员，擅自拆除、更动所造成的后果，均由该方负责。</w:t>
      </w:r>
    </w:p>
    <w:p w14:paraId="03DB7C2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4.23承包人应禁止其施工人员在合同规定的施工区以外区域施工或从事与施工无关的其他活动。</w:t>
      </w:r>
    </w:p>
    <w:p w14:paraId="543FBD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4.24承包人必须严格执行电业系统动火规定，正确使用动火工作票，易燃、易爆场所严禁吸烟及动用明火，消防器材不准挪作他用，电焊、气割作业应按规定办理动火审批手续。工地严禁使用电炉，冬季施工如必须采用明火加热的防冻措施时，应取得防火主管人员同意，落实防火、防爆、防中毒措施，并指派专人值班。</w:t>
      </w:r>
    </w:p>
    <w:p w14:paraId="0950721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4.25对有可能发生安全隐患的区域，承包人必须在施工之前办理好各类书面申请手续和落实安全隔离措施，设置相应的各类安全保护设施、遮栏、安全标志牌、警告牌等，经业主方有关部门审查合格后方可施工，并且只能在申请范围内施工，不得擅自超越工作票区域施工。同时，对在有可能发生安全隐患的区域施工的，承包人必须指派专职安全员，负责该区域的现场安全工作，专职安全员不得私自离开施工现场，若需离开现场的，必须指定具有安全资格的人员临时负责该区域的现场安全工作。</w:t>
      </w:r>
    </w:p>
    <w:p w14:paraId="41D6A1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4.26承包人在施工中，应注意地下管线、光缆及高压架空线的保护。承包人应向业主方了解地下管线和障碍物详细情况，会同业主方明确施工方法。承包人应贯彻业主方交底要求，明确施工方法，如遇有情况，应及时向业主方和有关部门联系，采取保护措施后施工。严禁冒险作业、野蛮作业。</w:t>
      </w:r>
    </w:p>
    <w:p w14:paraId="4998BB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4.27承包人必须为作业人员配备应有的劳动保护用品、用具。承包人所属人员的身体健康状况必须能满足所从事工作的要求。</w:t>
      </w:r>
    </w:p>
    <w:p w14:paraId="2B6560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4.28承包人必须根据国家法律规定自行承担费用为其相关施工人员购买人身意外伤害保险。</w:t>
      </w:r>
    </w:p>
    <w:p w14:paraId="56F3A6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4.29承包人必须坚持文明施工，对所承担工程区域的文明施工负责，做到工完料尽场地清，现场工业垃圾按业主方指定堆栈堆放并及时清理。承包人不定期清理，业主方组织清理，相应费用在承包人工程款中双倍扣除。</w:t>
      </w:r>
    </w:p>
    <w:p w14:paraId="290938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4.30承包人应遵守业主方的作息制度，根据业主方的作息安排施工进度。</w:t>
      </w:r>
    </w:p>
    <w:p w14:paraId="4C33EB8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4.31承包人不得将承包的工程进行转包。如有分包项目，应保证分包单位有相应的资质，以保证工程质量与安全，并事前征得业主方书面同意。承包人需对分包商的过错负连带责任。</w:t>
      </w:r>
    </w:p>
    <w:p w14:paraId="7ABD070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4.32承包人违反国家和地方有关安全生产的法律法规和规章，或违反业主方的厂纪厂规、安全文明生产相关规定，须接受业主方相关职能部门的安全、文明生产处罚。</w:t>
      </w:r>
    </w:p>
    <w:p w14:paraId="72D497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4.33工程施工结束后，承包人在自检合格的情况下，应填写竣工验收报告，组织邀请业主方进行工程竣工验收。</w:t>
      </w:r>
    </w:p>
    <w:p w14:paraId="1E8B14E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4.34承包人应按月（年）向业主方报送《电力建设企业职工伤亡事故月（年）报表》等各类安全报表和各项安全总结。</w:t>
      </w:r>
    </w:p>
    <w:p w14:paraId="439A3C4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4.35对业主方组织的安全文明大检查、季节性检查，安全工作例会，承包人应及时派员参加并认真贯彻落实，完成业主方临时性指派的安全文明生产任务。</w:t>
      </w:r>
    </w:p>
    <w:p w14:paraId="2DABCA6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5．事故责任与处理</w:t>
      </w:r>
    </w:p>
    <w:p w14:paraId="7E2F76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5.1事故责任的原则是“谁施工谁负责安全”。</w:t>
      </w:r>
    </w:p>
    <w:p w14:paraId="2A5983B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5.2业主方、承包人在施工期间造成人员伤亡（包括业主方、承包人责任造成对方人员、第三方（发行人等）人员伤亡）、火警、火灾、电气、机械等重大事故，承包人应进行紧急抢救伤员和保护现场，业主方协助。双方按国务院、国家电力公司及地方有关事故报告规定，在事故发生后1小时内及时报告各自上级主管部门及省（市）、区（县）等有关部门。承包人人员施工中发生的不安全情况应及时向业主方通报。</w:t>
      </w:r>
    </w:p>
    <w:p w14:paraId="100206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5.3在施工期间由于承包人施工机械、工器具原因或使用操作不当，安全防护设施不全、措施不力、人员违章，以及承包人安全管理不善而造成伤亡事故和因此发生的费用，由承包人承担。除业主方原因导致的安全事故外，如果任何受害人因安全生产事故遭受人身或财产损害向业主方提出索赔要求，则承包人应负责处理该索赔事件，并保证业主方免受此类索赔的损害。</w:t>
      </w:r>
    </w:p>
    <w:p w14:paraId="7642EE0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5.4承包人人员在施工中发生的不安全情况应及时向业主方通报，对施工过程中发生的不安全情况按“四不放过”原则进行处理，做到防微杜渐，防止同类同性质不安全情况重复性发生。</w:t>
      </w:r>
    </w:p>
    <w:p w14:paraId="6A9047B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5.5有关事故的责任认定遵照国家相关规定。</w:t>
      </w:r>
    </w:p>
    <w:p w14:paraId="56D5C9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6．其它</w:t>
      </w:r>
    </w:p>
    <w:p w14:paraId="15D48C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涉及施工区域以外工作的全部安全责任均由承包人承担。</w:t>
      </w:r>
    </w:p>
    <w:p w14:paraId="53683E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Calibri" w:hAnsi="Calibri" w:cs="Calibri"/>
          <w:color w:val="000000"/>
          <w:sz w:val="24"/>
          <w:szCs w:val="24"/>
        </w:rPr>
        <w:br w:type="page"/>
      </w:r>
      <w:r>
        <w:rPr>
          <w:rFonts w:hint="default" w:ascii="Calibri" w:hAnsi="Calibri" w:cs="Calibri"/>
          <w:color w:val="000000"/>
          <w:sz w:val="24"/>
          <w:szCs w:val="24"/>
        </w:rPr>
        <w:t> </w:t>
      </w:r>
      <w:bookmarkStart w:id="1156" w:name="_Toc67789113"/>
      <w:bookmarkStart w:id="1157" w:name="_Toc19460"/>
      <w:bookmarkStart w:id="1158" w:name="_Toc79760553"/>
      <w:bookmarkStart w:id="1159" w:name="_Toc12499"/>
      <w:bookmarkStart w:id="1160" w:name="_Toc8185"/>
      <w:bookmarkStart w:id="1161" w:name="_Toc5023"/>
      <w:r>
        <w:rPr>
          <w:rFonts w:hint="eastAsia" w:ascii="黑体" w:hAnsi="宋体" w:eastAsia="黑体" w:cs="黑体"/>
          <w:color w:val="0000FF"/>
          <w:sz w:val="28"/>
          <w:szCs w:val="28"/>
        </w:rPr>
        <w:t>技术文件附件</w:t>
      </w:r>
      <w:r>
        <w:rPr>
          <w:rFonts w:hint="default" w:ascii="Calibri" w:hAnsi="Calibri" w:cs="Calibri"/>
          <w:color w:val="0000FF"/>
          <w:sz w:val="28"/>
          <w:szCs w:val="28"/>
        </w:rPr>
        <w:t>十：设备运行维护手册要求</w:t>
      </w:r>
      <w:bookmarkEnd w:id="1156"/>
      <w:bookmarkEnd w:id="1157"/>
      <w:bookmarkEnd w:id="1158"/>
      <w:bookmarkEnd w:id="1159"/>
      <w:bookmarkEnd w:id="1160"/>
      <w:bookmarkEnd w:id="1161"/>
    </w:p>
    <w:p w14:paraId="3CF7E0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FF"/>
          <w:sz w:val="24"/>
          <w:szCs w:val="24"/>
        </w:rPr>
        <w:t>设备运行维护手册要求</w:t>
      </w:r>
    </w:p>
    <w:p w14:paraId="0C634D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1．运行维护手册格式</w:t>
      </w:r>
    </w:p>
    <w:p w14:paraId="3AC707A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运行维护手册由承包人提供，格式要求如下。</w:t>
      </w:r>
    </w:p>
    <w:p w14:paraId="52687F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（1）数量：</w:t>
      </w:r>
      <w:r>
        <w:rPr>
          <w:rFonts w:hint="default" w:ascii="Calibri" w:hAnsi="Calibri" w:cs="Calibri"/>
          <w:color w:val="000000"/>
          <w:sz w:val="24"/>
          <w:szCs w:val="24"/>
          <w:u w:val="single"/>
        </w:rPr>
        <w:t>一式十二套。</w:t>
      </w:r>
    </w:p>
    <w:p w14:paraId="1CD87E8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（2）纸张：</w:t>
      </w:r>
      <w:r>
        <w:rPr>
          <w:rFonts w:hint="default" w:ascii="Calibri" w:hAnsi="Calibri" w:cs="Calibri"/>
          <w:color w:val="000000"/>
          <w:sz w:val="24"/>
          <w:szCs w:val="24"/>
          <w:u w:val="single"/>
        </w:rPr>
        <w:t>A4。</w:t>
      </w:r>
    </w:p>
    <w:p w14:paraId="373A62A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（3）字体：</w:t>
      </w:r>
      <w:r>
        <w:rPr>
          <w:rFonts w:hint="default" w:ascii="Calibri" w:hAnsi="Calibri" w:cs="Calibri"/>
          <w:color w:val="000000"/>
          <w:sz w:val="24"/>
          <w:szCs w:val="24"/>
          <w:u w:val="single"/>
        </w:rPr>
        <w:t>宋体，小四号。</w:t>
      </w:r>
    </w:p>
    <w:p w14:paraId="5244D0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（5）行间距：</w:t>
      </w:r>
      <w:r>
        <w:rPr>
          <w:rFonts w:hint="default" w:ascii="Calibri" w:hAnsi="Calibri" w:cs="Calibri"/>
          <w:color w:val="000000"/>
          <w:sz w:val="24"/>
          <w:szCs w:val="24"/>
          <w:u w:val="single"/>
        </w:rPr>
        <w:t>1.5倍。</w:t>
      </w:r>
    </w:p>
    <w:p w14:paraId="5E90C3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（6）页边距：</w:t>
      </w:r>
      <w:r>
        <w:rPr>
          <w:rFonts w:hint="default" w:ascii="Calibri" w:hAnsi="Calibri" w:cs="Calibri"/>
          <w:color w:val="000000"/>
          <w:sz w:val="24"/>
          <w:szCs w:val="24"/>
          <w:u w:val="single"/>
        </w:rPr>
        <w:t>上2.54厘米，下2.54厘米，左3.18厘米，右3.18厘米。</w:t>
      </w:r>
    </w:p>
    <w:p w14:paraId="5A8A910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7506"/>
        </w:tabs>
        <w:spacing w:before="0" w:beforeAutospacing="0" w:after="0" w:afterAutospacing="0" w:line="360" w:lineRule="auto"/>
        <w:ind w:left="0" w:firstLine="480"/>
      </w:pPr>
      <w:r>
        <w:rPr>
          <w:rFonts w:hint="default" w:ascii="Calibri" w:hAnsi="Calibri" w:cs="Calibri"/>
          <w:color w:val="000000"/>
          <w:sz w:val="24"/>
          <w:szCs w:val="24"/>
        </w:rPr>
        <w:t>（7）页眉：</w:t>
      </w:r>
      <w:r>
        <w:rPr>
          <w:rFonts w:hint="default" w:ascii="Calibri" w:hAnsi="Calibri" w:cs="Calibri"/>
          <w:color w:val="000000"/>
          <w:sz w:val="24"/>
          <w:szCs w:val="24"/>
          <w:u w:val="single"/>
        </w:rPr>
        <w:t>XX光伏电站X期XXMW工程系统集成及部分设备运行维护手册</w:t>
      </w:r>
      <w:r>
        <w:rPr>
          <w:rFonts w:hint="default" w:ascii="Calibri" w:hAnsi="Calibri" w:cs="Calibri"/>
          <w:color w:val="000000"/>
          <w:sz w:val="24"/>
          <w:szCs w:val="24"/>
        </w:rPr>
        <w:t>。</w:t>
      </w:r>
    </w:p>
    <w:p w14:paraId="634630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7506"/>
        </w:tabs>
        <w:spacing w:before="0" w:beforeAutospacing="0" w:after="0" w:afterAutospacing="0" w:line="360" w:lineRule="auto"/>
        <w:ind w:left="0" w:firstLine="480"/>
      </w:pPr>
      <w:r>
        <w:rPr>
          <w:rFonts w:hint="default" w:ascii="Calibri" w:hAnsi="Calibri" w:cs="Calibri"/>
          <w:color w:val="000000"/>
          <w:sz w:val="24"/>
          <w:szCs w:val="24"/>
        </w:rPr>
        <w:t>（8）为便于使用和查阅，手册应分成卷，每一卷包括封面的最大厚度为50mm，每一卷的版式应尽可能地一致，每一部分的系统、设备等描述顺序也应一致。</w:t>
      </w:r>
    </w:p>
    <w:p w14:paraId="2C6666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bookmarkStart w:id="1162" w:name="_Toc79760554"/>
      <w:r>
        <w:rPr>
          <w:rFonts w:hint="default" w:ascii="Calibri" w:hAnsi="Calibri" w:cs="Calibri"/>
          <w:color w:val="000000"/>
          <w:sz w:val="24"/>
          <w:szCs w:val="24"/>
        </w:rPr>
        <w:t>2．运行维护手册内容要求</w:t>
      </w:r>
      <w:bookmarkEnd w:id="1162"/>
    </w:p>
    <w:p w14:paraId="7FAB44B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2.1设备运行和维护手册的目的是能够把全部必要的数据和说明装订成册，以便于运行人员可以较好地查阅和理解最初调试及试运行工作、有效操作以及在正常、事故和异常（非设计情况）下怎样正确操作设备。在提交之前，双方应商定操作和维护手册的形式和内容。</w:t>
      </w:r>
    </w:p>
    <w:p w14:paraId="550310E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2.2该手册应详细地叙述和说明设备构造，使新来的操作和维护人员能够研究和理解设备的功能的控制方法。</w:t>
      </w:r>
    </w:p>
    <w:p w14:paraId="3A94B27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2.3手册中应能够快速查阅运行参数、设备说明书、操作、维护和安全程度。</w:t>
      </w:r>
    </w:p>
    <w:p w14:paraId="2C9E514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2.4运行和维护手册应包括，但不限于下述内容：</w:t>
      </w:r>
    </w:p>
    <w:p w14:paraId="1052C6A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（1）设备概述，包括设备、系统说明、设备结构、功能说明、技术规范等。</w:t>
      </w:r>
    </w:p>
    <w:p w14:paraId="065A9B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（2）设备启动、运行和停运的操作程序及注意事项。</w:t>
      </w:r>
    </w:p>
    <w:p w14:paraId="51F71AF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（3）设备保护功能说明。</w:t>
      </w:r>
    </w:p>
    <w:p w14:paraId="62C674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（4）设备安装、拆卸、维护的程序及注意事项。</w:t>
      </w:r>
    </w:p>
    <w:p w14:paraId="18AE493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（5）设备零、部件清单，包括名称、图号、规格、材质、制造厂家全称等。</w:t>
      </w:r>
    </w:p>
    <w:p w14:paraId="4234064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（6）设备易损件、消耗性材料清单，包括名称、规格、制造厂家全称等。</w:t>
      </w:r>
    </w:p>
    <w:p w14:paraId="0AD55B8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60" w:lineRule="auto"/>
      </w:pPr>
      <w:r>
        <w:rPr>
          <w:rFonts w:hint="default" w:ascii="Calibri" w:hAnsi="Calibri" w:cs="Calibri"/>
          <w:color w:val="000000"/>
          <w:sz w:val="24"/>
          <w:szCs w:val="24"/>
        </w:rPr>
        <w:br w:type="page"/>
      </w:r>
      <w:r>
        <w:rPr>
          <w:rFonts w:hint="default" w:ascii="Calibri" w:hAnsi="Calibri" w:cs="Calibri"/>
          <w:color w:val="000000"/>
          <w:sz w:val="24"/>
          <w:szCs w:val="24"/>
        </w:rPr>
        <w:t> </w:t>
      </w:r>
      <w:bookmarkStart w:id="1163" w:name="_Toc67789114"/>
      <w:bookmarkStart w:id="1164" w:name="_Toc28558"/>
      <w:bookmarkStart w:id="1165" w:name="_Toc28367"/>
      <w:bookmarkStart w:id="1166" w:name="_Toc79760555"/>
      <w:bookmarkStart w:id="1167" w:name="_Toc10314"/>
      <w:bookmarkStart w:id="1168" w:name="_Toc13117"/>
      <w:r>
        <w:rPr>
          <w:rFonts w:hint="eastAsia" w:ascii="黑体" w:hAnsi="宋体" w:eastAsia="黑体" w:cs="黑体"/>
          <w:color w:val="0000FF"/>
          <w:sz w:val="28"/>
          <w:szCs w:val="28"/>
        </w:rPr>
        <w:t>技术文件附件</w:t>
      </w:r>
      <w:r>
        <w:rPr>
          <w:rFonts w:hint="default" w:ascii="Calibri" w:hAnsi="Calibri" w:cs="Calibri"/>
          <w:color w:val="0000FF"/>
          <w:sz w:val="28"/>
          <w:szCs w:val="28"/>
        </w:rPr>
        <w:t>十一：发电效率定义与发电系统可利用率的计算方法</w:t>
      </w:r>
      <w:bookmarkEnd w:id="1163"/>
      <w:bookmarkEnd w:id="1164"/>
      <w:bookmarkEnd w:id="1165"/>
      <w:bookmarkEnd w:id="1166"/>
      <w:bookmarkEnd w:id="1167"/>
      <w:bookmarkEnd w:id="1168"/>
    </w:p>
    <w:p w14:paraId="05E879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center"/>
      </w:pPr>
      <w:r>
        <w:rPr>
          <w:rFonts w:hint="default" w:ascii="Calibri" w:hAnsi="Calibri" w:cs="Calibri"/>
          <w:color w:val="0000FF"/>
          <w:sz w:val="24"/>
          <w:szCs w:val="24"/>
        </w:rPr>
        <w:t>发电效率定义与发电系统可利用率的计算方法</w:t>
      </w:r>
    </w:p>
    <w:p w14:paraId="4E4B353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FF"/>
          <w:sz w:val="24"/>
          <w:szCs w:val="24"/>
        </w:rPr>
        <w:t>1．发电效率定义</w:t>
      </w:r>
    </w:p>
    <w:p w14:paraId="58D41A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bdr w:val="none" w:color="auto" w:sz="0" w:space="0"/>
        </w:rPr>
        <w:t> </w:t>
      </w:r>
    </w:p>
    <w:p w14:paraId="3D8C62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drawing>
          <wp:inline distT="0" distB="0" distL="114300" distR="114300">
            <wp:extent cx="171450" cy="1714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171450" cy="171450"/>
                    </a:xfrm>
                    <a:prstGeom prst="rect">
                      <a:avLst/>
                    </a:prstGeom>
                    <a:noFill/>
                    <a:ln w="9525">
                      <a:noFill/>
                    </a:ln>
                  </pic:spPr>
                </pic:pic>
              </a:graphicData>
            </a:graphic>
          </wp:inline>
        </w:drawing>
      </w:r>
      <w:r>
        <w:rPr>
          <w:rFonts w:hint="default" w:ascii="Calibri" w:hAnsi="Calibri" w:cs="Calibri"/>
          <w:color w:val="000000"/>
          <w:sz w:val="24"/>
          <w:szCs w:val="24"/>
        </w:rPr>
        <w:drawing>
          <wp:inline distT="0" distB="0" distL="114300" distR="114300">
            <wp:extent cx="1362075" cy="819150"/>
            <wp:effectExtent l="0" t="0" r="9525"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1362075" cy="819150"/>
                    </a:xfrm>
                    <a:prstGeom prst="rect">
                      <a:avLst/>
                    </a:prstGeom>
                    <a:noFill/>
                    <a:ln w="9525">
                      <a:noFill/>
                    </a:ln>
                  </pic:spPr>
                </pic:pic>
              </a:graphicData>
            </a:graphic>
          </wp:inline>
        </w:drawing>
      </w:r>
    </w:p>
    <w:p w14:paraId="4382902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t>式中：</w:t>
      </w:r>
    </w:p>
    <w:p w14:paraId="55746B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drawing>
          <wp:inline distT="0" distB="0" distL="114300" distR="114300">
            <wp:extent cx="257175" cy="161925"/>
            <wp:effectExtent l="0" t="0" r="9525" b="762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257175" cy="161925"/>
                    </a:xfrm>
                    <a:prstGeom prst="rect">
                      <a:avLst/>
                    </a:prstGeom>
                    <a:noFill/>
                    <a:ln w="9525">
                      <a:noFill/>
                    </a:ln>
                  </pic:spPr>
                </pic:pic>
              </a:graphicData>
            </a:graphic>
          </wp:inline>
        </w:drawing>
      </w:r>
      <w:r>
        <w:rPr>
          <w:rFonts w:hint="default" w:ascii="Calibri" w:hAnsi="Calibri" w:cs="Calibri"/>
          <w:color w:val="000000"/>
          <w:sz w:val="24"/>
          <w:szCs w:val="24"/>
        </w:rPr>
        <w:t>——发电效率</w:t>
      </w:r>
    </w:p>
    <w:p w14:paraId="3663EE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drawing>
          <wp:inline distT="0" distB="0" distL="114300" distR="114300">
            <wp:extent cx="161925" cy="276225"/>
            <wp:effectExtent l="0" t="0" r="9525" b="762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161925" cy="276225"/>
                    </a:xfrm>
                    <a:prstGeom prst="rect">
                      <a:avLst/>
                    </a:prstGeom>
                    <a:noFill/>
                    <a:ln w="9525">
                      <a:noFill/>
                    </a:ln>
                  </pic:spPr>
                </pic:pic>
              </a:graphicData>
            </a:graphic>
          </wp:inline>
        </w:drawing>
      </w:r>
      <w:r>
        <w:rPr>
          <w:rFonts w:hint="default" w:ascii="Calibri" w:hAnsi="Calibri" w:cs="Calibri"/>
          <w:color w:val="000000"/>
          <w:sz w:val="24"/>
          <w:szCs w:val="24"/>
        </w:rPr>
        <w:t>——某一段时间内某台逆变器输出电能[kW]</w:t>
      </w:r>
    </w:p>
    <w:p w14:paraId="57DA45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drawing>
          <wp:inline distT="0" distB="0" distL="114300" distR="114300">
            <wp:extent cx="400050" cy="257175"/>
            <wp:effectExtent l="0" t="0" r="0" b="889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0"/>
                    <a:stretch>
                      <a:fillRect/>
                    </a:stretch>
                  </pic:blipFill>
                  <pic:spPr>
                    <a:xfrm>
                      <a:off x="0" y="0"/>
                      <a:ext cx="400050" cy="257175"/>
                    </a:xfrm>
                    <a:prstGeom prst="rect">
                      <a:avLst/>
                    </a:prstGeom>
                    <a:noFill/>
                    <a:ln w="9525">
                      <a:noFill/>
                    </a:ln>
                  </pic:spPr>
                </pic:pic>
              </a:graphicData>
            </a:graphic>
          </wp:inline>
        </w:drawing>
      </w:r>
      <w:r>
        <w:rPr>
          <w:rFonts w:hint="default" w:ascii="Calibri" w:hAnsi="Calibri" w:cs="Calibri"/>
          <w:color w:val="000000"/>
          <w:sz w:val="24"/>
          <w:szCs w:val="24"/>
        </w:rPr>
        <w:t>——考虑光伏组件性能衰减后某台逆变器光伏组件安装总峰值功率[kWp]</w:t>
      </w:r>
    </w:p>
    <w:p w14:paraId="5D48CD4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drawing>
          <wp:inline distT="0" distB="0" distL="114300" distR="114300">
            <wp:extent cx="209550" cy="209550"/>
            <wp:effectExtent l="0" t="0" r="0" b="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1"/>
                    <a:stretch>
                      <a:fillRect/>
                    </a:stretch>
                  </pic:blipFill>
                  <pic:spPr>
                    <a:xfrm>
                      <a:off x="0" y="0"/>
                      <a:ext cx="209550" cy="209550"/>
                    </a:xfrm>
                    <a:prstGeom prst="rect">
                      <a:avLst/>
                    </a:prstGeom>
                    <a:noFill/>
                    <a:ln w="9525">
                      <a:noFill/>
                    </a:ln>
                  </pic:spPr>
                </pic:pic>
              </a:graphicData>
            </a:graphic>
          </wp:inline>
        </w:drawing>
      </w:r>
      <w:r>
        <w:rPr>
          <w:rFonts w:hint="default" w:ascii="Calibri" w:hAnsi="Calibri" w:cs="Calibri"/>
          <w:color w:val="000000"/>
          <w:sz w:val="24"/>
          <w:szCs w:val="24"/>
        </w:rPr>
        <w:t>——某一段时间内光伏校准单元测量所得辐照量[W/m</w:t>
      </w:r>
      <w:r>
        <w:rPr>
          <w:rFonts w:hint="default" w:ascii="Calibri" w:hAnsi="Calibri" w:cs="Calibri"/>
          <w:color w:val="000000"/>
          <w:sz w:val="24"/>
          <w:szCs w:val="24"/>
          <w:vertAlign w:val="superscript"/>
        </w:rPr>
        <w:t>2</w:t>
      </w:r>
      <w:r>
        <w:rPr>
          <w:rFonts w:hint="default" w:ascii="Calibri" w:hAnsi="Calibri" w:cs="Calibri"/>
          <w:color w:val="000000"/>
          <w:sz w:val="24"/>
          <w:szCs w:val="24"/>
        </w:rPr>
        <w:t>]</w:t>
      </w:r>
    </w:p>
    <w:p w14:paraId="371E65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drawing>
          <wp:inline distT="0" distB="0" distL="114300" distR="114300">
            <wp:extent cx="209550" cy="209550"/>
            <wp:effectExtent l="0" t="0" r="0" b="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2"/>
                    <a:stretch>
                      <a:fillRect/>
                    </a:stretch>
                  </pic:blipFill>
                  <pic:spPr>
                    <a:xfrm>
                      <a:off x="0" y="0"/>
                      <a:ext cx="209550" cy="209550"/>
                    </a:xfrm>
                    <a:prstGeom prst="rect">
                      <a:avLst/>
                    </a:prstGeom>
                    <a:noFill/>
                    <a:ln w="9525">
                      <a:noFill/>
                    </a:ln>
                  </pic:spPr>
                </pic:pic>
              </a:graphicData>
            </a:graphic>
          </wp:inline>
        </w:drawing>
      </w:r>
      <w:r>
        <w:rPr>
          <w:rFonts w:hint="default" w:ascii="Calibri" w:hAnsi="Calibri" w:cs="Calibri"/>
          <w:color w:val="000000"/>
          <w:sz w:val="24"/>
          <w:szCs w:val="24"/>
        </w:rPr>
        <w:t>——标准测试条件的辐照量[1000W/m</w:t>
      </w:r>
      <w:r>
        <w:rPr>
          <w:rFonts w:hint="default" w:ascii="Calibri" w:hAnsi="Calibri" w:cs="Calibri"/>
          <w:color w:val="000000"/>
          <w:sz w:val="24"/>
          <w:szCs w:val="24"/>
          <w:vertAlign w:val="superscript"/>
        </w:rPr>
        <w:t>2</w:t>
      </w:r>
      <w:r>
        <w:rPr>
          <w:rFonts w:hint="default" w:ascii="Calibri" w:hAnsi="Calibri" w:cs="Calibri"/>
          <w:color w:val="000000"/>
          <w:sz w:val="24"/>
          <w:szCs w:val="24"/>
        </w:rPr>
        <w:t>]</w:t>
      </w:r>
    </w:p>
    <w:p w14:paraId="6E44EF6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pPr>
      <w:r>
        <w:rPr>
          <w:rFonts w:hint="default" w:ascii="Calibri" w:hAnsi="Calibri" w:cs="Calibri"/>
          <w:color w:val="000000"/>
          <w:sz w:val="24"/>
          <w:szCs w:val="24"/>
        </w:rPr>
        <w:t>2．发电系统可利用率的计算方法如下：</w:t>
      </w:r>
    </w:p>
    <w:p w14:paraId="60E7F8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t>发电系统可利用率计算采用监控系统中的状态列表数据，时间周期为1年（8760h），计算方法如下：</w:t>
      </w:r>
    </w:p>
    <w:p w14:paraId="0324CCF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t>发电系统可利用率（a）=100*（8760-由于卖方设备、系统原因故障停机时间（h））/8760[%]</w:t>
      </w:r>
    </w:p>
    <w:p w14:paraId="352E30F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t>注：由于卖方设备、系统原因故障停机时间（h）为在运行中由于卖方设备原因某参数超过了自动控制系统的限制值而自动或手动停机的1年累计时间，单位为小时。不包括由于外部条件如光照强度不在运行范围，外部环境温度不在运行范围，电网参数不在运行范围，招标范围外设备故障，业主运行时手动停机（由于安全存在重大隐患除外等）使机组停机的时间。</w:t>
      </w:r>
    </w:p>
    <w:p w14:paraId="3DCE69C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t>发电系统平均可利用率（A）=每个变电中心可利用率（a）之和/变电中心数</w:t>
      </w:r>
    </w:p>
    <w:p w14:paraId="5A0E81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40"/>
      </w:pPr>
      <w:r>
        <w:rPr>
          <w:rFonts w:hint="default" w:ascii="Calibri" w:hAnsi="Calibri" w:cs="Calibri"/>
          <w:color w:val="000000"/>
          <w:sz w:val="24"/>
          <w:szCs w:val="24"/>
        </w:rPr>
        <w:t>发电系统的平均可利用率（A）的考核时段从自签署初步验收证书之日起分五年进行。</w:t>
      </w:r>
    </w:p>
    <w:p w14:paraId="69EED6A4">
      <w:pPr>
        <w:keepNext w:val="0"/>
        <w:keepLines w:val="0"/>
        <w:widowControl/>
        <w:suppressLineNumbers w:val="0"/>
        <w:jc w:val="left"/>
      </w:pPr>
      <w:r>
        <w:rPr>
          <w:rFonts w:ascii="宋体" w:hAnsi="宋体" w:eastAsia="宋体" w:cs="宋体"/>
          <w:kern w:val="0"/>
          <w:sz w:val="24"/>
          <w:szCs w:val="24"/>
          <w:lang w:val="en-US" w:eastAsia="zh-CN" w:bidi="ar"/>
        </w:rPr>
        <w:fldChar w:fldCharType="end"/>
      </w:r>
    </w:p>
    <w:p w14:paraId="0EC119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8A0A2"/>
    <w:multiLevelType w:val="multilevel"/>
    <w:tmpl w:val="B738A0A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C0E6D6FA"/>
    <w:multiLevelType w:val="multilevel"/>
    <w:tmpl w:val="C0E6D6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ED6108D9"/>
    <w:multiLevelType w:val="multilevel"/>
    <w:tmpl w:val="ED6108D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05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2025-04-15T05:52:32Z</dcterms:created>
  <dc:creator>Lenovo</dc:creator>
  <cp:lastModifiedBy>亘</cp:lastModifiedBy>
  <dcterms:modified xsi:type="dcterms:W3CDTF">2025-04-15T05:52:42Z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eyJoZGlkIjoiMjE1ZDg1NDczNDBlNzNhNjIxYzQ5ODY4ZDIzMmQ5NGMiLCJ1c2VySWQiOiIxMjA3NjczMzI2In0=</vt:lpwstr>
  </property>
  <property fmtid="{D5CDD505-2E9C-101B-9397-08002B2CF9AE}" pid="4" name="ICV">
    <vt:lpwstr>8FA5A8E3D1854016B651B34A1FFEEA2A_12</vt:lpwstr>
  </property>
</Properties>
</file>