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8.0 -->
  <w:body>
    <w:tbl>
      <w:tblPr>
        <w:tblStyle w:val="TableNormal"/>
        <w:tblpPr w:leftFromText="180" w:rightFromText="180" w:vertAnchor="page" w:horzAnchor="margin" w:tblpY="265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6"/>
        <w:gridCol w:w="1323"/>
        <w:gridCol w:w="1774"/>
        <w:gridCol w:w="1980"/>
        <w:gridCol w:w="2127"/>
      </w:tblGrid>
      <w:tr w14:paraId="128E7207">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63"/>
        </w:trPr>
        <w:tc>
          <w:tcPr>
            <w:tcW w:w="1020" w:type="pct"/>
            <w:tcBorders>
              <w:top w:val="single" w:sz="8" w:space="0" w:color="auto"/>
              <w:left w:val="single" w:sz="8" w:space="0" w:color="auto"/>
              <w:tl2br w:val="single" w:sz="4" w:space="0" w:color="auto"/>
            </w:tcBorders>
            <w:tcMar>
              <w:left w:w="28" w:type="dxa"/>
              <w:right w:w="28" w:type="dxa"/>
            </w:tcMar>
            <w:vAlign w:val="center"/>
          </w:tcPr>
          <w:p w14:paraId="04A070E4">
            <w:pPr>
              <w:snapToGrid w:val="0"/>
              <w:jc w:val="center"/>
              <w:rPr>
                <w:bCs/>
                <w:sz w:val="24"/>
              </w:rPr>
            </w:pPr>
            <w:bookmarkStart w:id="0" w:name="_GoBack"/>
            <w:bookmarkEnd w:id="0"/>
          </w:p>
          <w:p w14:paraId="1A1780BF">
            <w:pPr>
              <w:snapToGrid w:val="0"/>
              <w:rPr>
                <w:bCs/>
                <w:sz w:val="24"/>
              </w:rPr>
            </w:pPr>
          </w:p>
        </w:tc>
        <w:tc>
          <w:tcPr>
            <w:tcW w:w="731" w:type="pct"/>
            <w:tcBorders>
              <w:top w:val="single" w:sz="8" w:space="0" w:color="auto"/>
            </w:tcBorders>
            <w:tcMar>
              <w:left w:w="28" w:type="dxa"/>
              <w:right w:w="28" w:type="dxa"/>
            </w:tcMar>
            <w:vAlign w:val="center"/>
          </w:tcPr>
          <w:p w14:paraId="12B2CF6B">
            <w:pPr>
              <w:snapToGrid w:val="0"/>
              <w:jc w:val="center"/>
              <w:rPr>
                <w:bCs/>
                <w:sz w:val="24"/>
              </w:rPr>
            </w:pPr>
            <w:r>
              <w:rPr>
                <w:bCs/>
                <w:sz w:val="24"/>
              </w:rPr>
              <w:t>部门</w:t>
            </w:r>
          </w:p>
          <w:p w14:paraId="70CBFFE7">
            <w:pPr>
              <w:snapToGrid w:val="0"/>
              <w:jc w:val="center"/>
              <w:rPr>
                <w:bCs/>
                <w:sz w:val="24"/>
              </w:rPr>
            </w:pPr>
            <w:r>
              <w:rPr>
                <w:bCs/>
                <w:sz w:val="24"/>
              </w:rPr>
              <w:t>Department</w:t>
            </w:r>
          </w:p>
        </w:tc>
        <w:tc>
          <w:tcPr>
            <w:tcW w:w="980" w:type="pct"/>
            <w:tcBorders>
              <w:top w:val="single" w:sz="8" w:space="0" w:color="auto"/>
            </w:tcBorders>
            <w:tcMar>
              <w:left w:w="28" w:type="dxa"/>
              <w:right w:w="28" w:type="dxa"/>
            </w:tcMar>
            <w:vAlign w:val="center"/>
          </w:tcPr>
          <w:p w14:paraId="5D253E6C">
            <w:pPr>
              <w:snapToGrid w:val="0"/>
              <w:jc w:val="center"/>
              <w:rPr>
                <w:bCs/>
                <w:sz w:val="24"/>
              </w:rPr>
            </w:pPr>
            <w:r>
              <w:rPr>
                <w:bCs/>
                <w:sz w:val="24"/>
              </w:rPr>
              <w:t>姓名</w:t>
            </w:r>
          </w:p>
          <w:p w14:paraId="78D898A9">
            <w:pPr>
              <w:snapToGrid w:val="0"/>
              <w:jc w:val="center"/>
              <w:rPr>
                <w:bCs/>
                <w:sz w:val="24"/>
              </w:rPr>
            </w:pPr>
            <w:r>
              <w:rPr>
                <w:bCs/>
                <w:sz w:val="24"/>
              </w:rPr>
              <w:t>Name</w:t>
            </w:r>
          </w:p>
        </w:tc>
        <w:tc>
          <w:tcPr>
            <w:tcW w:w="1094" w:type="pct"/>
            <w:tcBorders>
              <w:top w:val="single" w:sz="8" w:space="0" w:color="auto"/>
            </w:tcBorders>
            <w:tcMar>
              <w:left w:w="28" w:type="dxa"/>
              <w:right w:w="28" w:type="dxa"/>
            </w:tcMar>
            <w:vAlign w:val="center"/>
          </w:tcPr>
          <w:p w14:paraId="28658D06">
            <w:pPr>
              <w:snapToGrid w:val="0"/>
              <w:jc w:val="center"/>
              <w:rPr>
                <w:bCs/>
                <w:sz w:val="24"/>
              </w:rPr>
            </w:pPr>
            <w:r>
              <w:rPr>
                <w:bCs/>
                <w:sz w:val="24"/>
              </w:rPr>
              <w:t>签名</w:t>
            </w:r>
          </w:p>
          <w:p w14:paraId="5ADFDBF2">
            <w:pPr>
              <w:snapToGrid w:val="0"/>
              <w:jc w:val="center"/>
              <w:rPr>
                <w:bCs/>
                <w:sz w:val="24"/>
              </w:rPr>
            </w:pPr>
            <w:r>
              <w:rPr>
                <w:bCs/>
                <w:sz w:val="24"/>
              </w:rPr>
              <w:t>Signature</w:t>
            </w:r>
          </w:p>
        </w:tc>
        <w:tc>
          <w:tcPr>
            <w:tcW w:w="1175" w:type="pct"/>
            <w:tcBorders>
              <w:top w:val="single" w:sz="8" w:space="0" w:color="auto"/>
              <w:right w:val="single" w:sz="8" w:space="0" w:color="auto"/>
            </w:tcBorders>
            <w:tcMar>
              <w:left w:w="28" w:type="dxa"/>
              <w:right w:w="28" w:type="dxa"/>
            </w:tcMar>
            <w:vAlign w:val="center"/>
          </w:tcPr>
          <w:p w14:paraId="5905B8AA">
            <w:pPr>
              <w:snapToGrid w:val="0"/>
              <w:jc w:val="center"/>
              <w:rPr>
                <w:bCs/>
                <w:sz w:val="24"/>
              </w:rPr>
            </w:pPr>
            <w:r>
              <w:rPr>
                <w:bCs/>
                <w:sz w:val="24"/>
              </w:rPr>
              <w:t>日期</w:t>
            </w:r>
          </w:p>
          <w:p w14:paraId="4B8A4539">
            <w:pPr>
              <w:snapToGrid w:val="0"/>
              <w:jc w:val="center"/>
              <w:rPr>
                <w:bCs/>
                <w:sz w:val="24"/>
              </w:rPr>
            </w:pPr>
            <w:r>
              <w:rPr>
                <w:bCs/>
                <w:sz w:val="24"/>
              </w:rPr>
              <w:t>Date</w:t>
            </w:r>
          </w:p>
        </w:tc>
      </w:tr>
      <w:tr w14:paraId="4D49D51D">
        <w:tblPrEx>
          <w:tblW w:w="5000" w:type="pct"/>
          <w:tblInd w:w="0" w:type="dxa"/>
          <w:tblLayout w:type="fixed"/>
          <w:tblCellMar>
            <w:top w:w="0" w:type="dxa"/>
            <w:left w:w="108" w:type="dxa"/>
            <w:bottom w:w="0" w:type="dxa"/>
            <w:right w:w="108" w:type="dxa"/>
          </w:tblCellMar>
        </w:tblPrEx>
        <w:trPr>
          <w:cantSplit/>
          <w:trHeight w:val="577"/>
        </w:trPr>
        <w:tc>
          <w:tcPr>
            <w:tcW w:w="1020" w:type="pct"/>
            <w:tcBorders>
              <w:left w:val="single" w:sz="8" w:space="0" w:color="auto"/>
            </w:tcBorders>
            <w:tcMar>
              <w:left w:w="28" w:type="dxa"/>
              <w:right w:w="28" w:type="dxa"/>
            </w:tcMar>
            <w:vAlign w:val="center"/>
          </w:tcPr>
          <w:p w14:paraId="7DB9339B">
            <w:pPr>
              <w:snapToGrid w:val="0"/>
              <w:jc w:val="center"/>
              <w:rPr>
                <w:bCs/>
                <w:sz w:val="24"/>
              </w:rPr>
            </w:pPr>
            <w:r>
              <w:rPr>
                <w:bCs/>
                <w:sz w:val="24"/>
              </w:rPr>
              <w:t>起草</w:t>
            </w:r>
          </w:p>
          <w:p w14:paraId="44FDC2EF">
            <w:pPr>
              <w:snapToGrid w:val="0"/>
              <w:jc w:val="center"/>
              <w:rPr>
                <w:bCs/>
                <w:iCs/>
                <w:sz w:val="24"/>
              </w:rPr>
            </w:pPr>
            <w:r>
              <w:rPr>
                <w:bCs/>
                <w:iCs/>
                <w:sz w:val="24"/>
              </w:rPr>
              <w:t>Prepared by</w:t>
            </w:r>
          </w:p>
        </w:tc>
        <w:tc>
          <w:tcPr>
            <w:tcW w:w="731" w:type="pct"/>
            <w:tcMar>
              <w:left w:w="28" w:type="dxa"/>
              <w:right w:w="28" w:type="dxa"/>
            </w:tcMar>
            <w:vAlign w:val="center"/>
          </w:tcPr>
          <w:p w14:paraId="562C2DF4">
            <w:pPr>
              <w:snapToGrid w:val="0"/>
              <w:jc w:val="center"/>
              <w:rPr>
                <w:bCs/>
                <w:sz w:val="24"/>
              </w:rPr>
            </w:pPr>
            <w:r>
              <w:rPr>
                <w:rFonts w:hint="eastAsia"/>
                <w:bCs/>
                <w:sz w:val="24"/>
              </w:rPr>
              <w:t>QA</w:t>
            </w:r>
          </w:p>
        </w:tc>
        <w:tc>
          <w:tcPr>
            <w:tcW w:w="980" w:type="pct"/>
            <w:tcMar>
              <w:left w:w="28" w:type="dxa"/>
              <w:right w:w="28" w:type="dxa"/>
            </w:tcMar>
            <w:vAlign w:val="center"/>
          </w:tcPr>
          <w:p w14:paraId="77EBCF64">
            <w:pPr>
              <w:snapToGrid w:val="0"/>
              <w:jc w:val="center"/>
              <w:rPr>
                <w:bCs/>
                <w:sz w:val="24"/>
              </w:rPr>
            </w:pPr>
            <w:r>
              <w:rPr>
                <w:rFonts w:hint="eastAsia"/>
                <w:bCs/>
                <w:sz w:val="24"/>
              </w:rPr>
              <w:t>游红芳</w:t>
            </w:r>
          </w:p>
        </w:tc>
        <w:tc>
          <w:tcPr>
            <w:tcW w:w="1094" w:type="pct"/>
            <w:tcMar>
              <w:left w:w="28" w:type="dxa"/>
              <w:right w:w="28" w:type="dxa"/>
            </w:tcMar>
            <w:vAlign w:val="center"/>
          </w:tcPr>
          <w:p w14:paraId="2C8022CB">
            <w:pPr>
              <w:snapToGrid w:val="0"/>
              <w:rPr>
                <w:bCs/>
                <w:sz w:val="24"/>
              </w:rPr>
            </w:pPr>
            <w:r>
              <w:rPr>
                <w:rFonts w:hint="eastAsia"/>
                <w:bCs/>
                <w:sz w:val="24"/>
              </w:rPr>
              <w:drawing>
                <wp:inline distT="0" distB="0" distL="0" distR="0">
                  <wp:extent cx="762000" cy="190500"/>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5"/>
                          <a:stretch>
                            <a:fillRect/>
                          </a:stretch>
                        </pic:blipFill>
                        <pic:spPr>
                          <a:xfrm>
                            <a:off x="0" y="0"/>
                            <a:ext cx="762000" cy="190500"/>
                          </a:xfrm>
                          <a:prstGeom prst="rect">
                            <a:avLst/>
                          </a:prstGeom>
                        </pic:spPr>
                      </pic:pic>
                    </a:graphicData>
                  </a:graphic>
                </wp:inline>
              </w:drawing>
            </w:r>
          </w:p>
        </w:tc>
        <w:tc>
          <w:tcPr>
            <w:tcW w:w="1175" w:type="pct"/>
            <w:tcBorders>
              <w:right w:val="single" w:sz="8" w:space="0" w:color="auto"/>
            </w:tcBorders>
            <w:tcMar>
              <w:left w:w="28" w:type="dxa"/>
              <w:right w:w="28" w:type="dxa"/>
            </w:tcMar>
            <w:vAlign w:val="center"/>
          </w:tcPr>
          <w:p w14:paraId="4AC39C23">
            <w:pPr>
              <w:snapToGrid w:val="0"/>
              <w:jc w:val="center"/>
              <w:rPr>
                <w:bCs/>
                <w:sz w:val="24"/>
              </w:rPr>
            </w:pPr>
            <w:r>
              <w:rPr>
                <w:rFonts w:hint="eastAsia"/>
                <w:bCs/>
                <w:sz w:val="24"/>
              </w:rPr>
              <w:t>2024-08-19</w:t>
            </w:r>
          </w:p>
        </w:tc>
      </w:tr>
      <w:tr w14:paraId="462D670F">
        <w:tblPrEx>
          <w:tblW w:w="5000" w:type="pct"/>
          <w:tblInd w:w="0" w:type="dxa"/>
          <w:tblLayout w:type="fixed"/>
          <w:tblCellMar>
            <w:top w:w="0" w:type="dxa"/>
            <w:left w:w="108" w:type="dxa"/>
            <w:bottom w:w="0" w:type="dxa"/>
            <w:right w:w="108" w:type="dxa"/>
          </w:tblCellMar>
        </w:tblPrEx>
        <w:trPr>
          <w:cantSplit/>
          <w:trHeight w:val="567"/>
        </w:trPr>
        <w:tc>
          <w:tcPr>
            <w:tcW w:w="1020" w:type="pct"/>
            <w:tcBorders>
              <w:left w:val="single" w:sz="8" w:space="0" w:color="auto"/>
            </w:tcBorders>
            <w:tcMar>
              <w:left w:w="28" w:type="dxa"/>
              <w:right w:w="28" w:type="dxa"/>
            </w:tcMar>
            <w:vAlign w:val="center"/>
          </w:tcPr>
          <w:p w14:paraId="248190AE">
            <w:pPr>
              <w:snapToGrid w:val="0"/>
              <w:jc w:val="center"/>
              <w:rPr>
                <w:bCs/>
                <w:sz w:val="24"/>
              </w:rPr>
            </w:pPr>
            <w:r>
              <w:rPr>
                <w:bCs/>
                <w:sz w:val="24"/>
              </w:rPr>
              <w:t>审核</w:t>
            </w:r>
          </w:p>
          <w:p w14:paraId="19982035">
            <w:pPr>
              <w:snapToGrid w:val="0"/>
              <w:jc w:val="center"/>
              <w:rPr>
                <w:bCs/>
                <w:iCs/>
                <w:sz w:val="24"/>
              </w:rPr>
            </w:pPr>
            <w:r>
              <w:rPr>
                <w:bCs/>
                <w:iCs/>
                <w:sz w:val="24"/>
              </w:rPr>
              <w:t>Reviewed by</w:t>
            </w:r>
          </w:p>
        </w:tc>
        <w:tc>
          <w:tcPr>
            <w:tcW w:w="731" w:type="pct"/>
            <w:tcMar>
              <w:left w:w="28" w:type="dxa"/>
              <w:right w:w="28" w:type="dxa"/>
            </w:tcMar>
            <w:vAlign w:val="center"/>
          </w:tcPr>
          <w:p w14:paraId="7C183F2E">
            <w:pPr>
              <w:snapToGrid w:val="0"/>
              <w:jc w:val="center"/>
              <w:rPr>
                <w:bCs/>
                <w:sz w:val="24"/>
              </w:rPr>
            </w:pPr>
            <w:r>
              <w:rPr>
                <w:rFonts w:hint="eastAsia"/>
                <w:bCs/>
                <w:sz w:val="24"/>
              </w:rPr>
              <w:t>QA</w:t>
            </w:r>
          </w:p>
        </w:tc>
        <w:tc>
          <w:tcPr>
            <w:tcW w:w="980" w:type="pct"/>
            <w:tcMar>
              <w:left w:w="28" w:type="dxa"/>
              <w:right w:w="28" w:type="dxa"/>
            </w:tcMar>
            <w:vAlign w:val="center"/>
          </w:tcPr>
          <w:p w14:paraId="493CD52D">
            <w:pPr>
              <w:jc w:val="center"/>
              <w:rPr>
                <w:bCs/>
                <w:sz w:val="24"/>
              </w:rPr>
            </w:pPr>
            <w:r>
              <w:rPr>
                <w:rFonts w:hint="eastAsia"/>
                <w:bCs/>
                <w:sz w:val="24"/>
              </w:rPr>
              <w:t>李艳珍</w:t>
            </w:r>
          </w:p>
        </w:tc>
        <w:tc>
          <w:tcPr>
            <w:tcW w:w="1094" w:type="pct"/>
            <w:tcMar>
              <w:left w:w="28" w:type="dxa"/>
              <w:right w:w="28" w:type="dxa"/>
            </w:tcMar>
            <w:vAlign w:val="center"/>
          </w:tcPr>
          <w:p w14:paraId="3DCAF6CA">
            <w:pPr>
              <w:snapToGrid w:val="0"/>
              <w:rPr>
                <w:bCs/>
                <w:sz w:val="24"/>
              </w:rPr>
            </w:pPr>
            <w:r>
              <w:rPr>
                <w:rFonts w:hint="eastAsia"/>
                <w:bCs/>
                <w:sz w:val="24"/>
              </w:rPr>
              <w:drawing>
                <wp:inline distT="0" distB="0" distL="0" distR="0">
                  <wp:extent cx="762000" cy="381000"/>
                  <wp:docPr id="3" name="Picture 3" descr="Generated"/>
                  <wp:cNvGraphicFramePr/>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6"/>
                          <a:stretch>
                            <a:fillRect/>
                          </a:stretch>
                        </pic:blipFill>
                        <pic:spPr>
                          <a:xfrm>
                            <a:off x="0" y="0"/>
                            <a:ext cx="762000" cy="381000"/>
                          </a:xfrm>
                          <a:prstGeom prst="rect">
                            <a:avLst/>
                          </a:prstGeom>
                        </pic:spPr>
                      </pic:pic>
                    </a:graphicData>
                  </a:graphic>
                </wp:inline>
              </w:drawing>
            </w:r>
          </w:p>
        </w:tc>
        <w:tc>
          <w:tcPr>
            <w:tcW w:w="1175" w:type="pct"/>
            <w:tcBorders>
              <w:right w:val="single" w:sz="8" w:space="0" w:color="auto"/>
            </w:tcBorders>
            <w:tcMar>
              <w:left w:w="28" w:type="dxa"/>
              <w:right w:w="28" w:type="dxa"/>
            </w:tcMar>
            <w:vAlign w:val="center"/>
          </w:tcPr>
          <w:p w14:paraId="2E6A7C40">
            <w:pPr>
              <w:snapToGrid w:val="0"/>
              <w:jc w:val="center"/>
              <w:rPr>
                <w:bCs/>
                <w:sz w:val="24"/>
              </w:rPr>
            </w:pPr>
            <w:r>
              <w:rPr>
                <w:rFonts w:hint="eastAsia"/>
                <w:bCs/>
                <w:sz w:val="24"/>
              </w:rPr>
              <w:t>2024-08-19</w:t>
            </w:r>
          </w:p>
        </w:tc>
      </w:tr>
      <w:tr w14:paraId="0AC09AE9">
        <w:tblPrEx>
          <w:tblW w:w="5000" w:type="pct"/>
          <w:tblInd w:w="0" w:type="dxa"/>
          <w:tblLayout w:type="fixed"/>
          <w:tblCellMar>
            <w:top w:w="0" w:type="dxa"/>
            <w:left w:w="108" w:type="dxa"/>
            <w:bottom w:w="0" w:type="dxa"/>
            <w:right w:w="108" w:type="dxa"/>
          </w:tblCellMar>
        </w:tblPrEx>
        <w:trPr>
          <w:cantSplit/>
          <w:trHeight w:val="567"/>
        </w:trPr>
        <w:tc>
          <w:tcPr>
            <w:tcW w:w="1020" w:type="pct"/>
            <w:tcBorders>
              <w:left w:val="single" w:sz="8" w:space="0" w:color="auto"/>
              <w:bottom w:val="single" w:sz="8" w:space="0" w:color="auto"/>
            </w:tcBorders>
            <w:tcMar>
              <w:left w:w="28" w:type="dxa"/>
              <w:right w:w="28" w:type="dxa"/>
            </w:tcMar>
            <w:vAlign w:val="center"/>
          </w:tcPr>
          <w:p w14:paraId="4E0ACEE9">
            <w:pPr>
              <w:snapToGrid w:val="0"/>
              <w:jc w:val="center"/>
              <w:rPr>
                <w:bCs/>
                <w:sz w:val="24"/>
              </w:rPr>
            </w:pPr>
            <w:r>
              <w:rPr>
                <w:bCs/>
                <w:sz w:val="24"/>
              </w:rPr>
              <w:t>批准</w:t>
            </w:r>
          </w:p>
          <w:p w14:paraId="0FB0A0B5">
            <w:pPr>
              <w:snapToGrid w:val="0"/>
              <w:jc w:val="center"/>
              <w:rPr>
                <w:bCs/>
                <w:iCs/>
                <w:sz w:val="24"/>
              </w:rPr>
            </w:pPr>
            <w:r>
              <w:rPr>
                <w:bCs/>
                <w:iCs/>
                <w:sz w:val="24"/>
              </w:rPr>
              <w:t>Approved by</w:t>
            </w:r>
          </w:p>
        </w:tc>
        <w:tc>
          <w:tcPr>
            <w:tcW w:w="731" w:type="pct"/>
            <w:tcBorders>
              <w:bottom w:val="single" w:sz="8" w:space="0" w:color="auto"/>
            </w:tcBorders>
            <w:tcMar>
              <w:left w:w="28" w:type="dxa"/>
              <w:right w:w="28" w:type="dxa"/>
            </w:tcMar>
            <w:vAlign w:val="center"/>
          </w:tcPr>
          <w:p w14:paraId="0611EDFD">
            <w:pPr>
              <w:snapToGrid w:val="0"/>
              <w:jc w:val="center"/>
              <w:rPr>
                <w:bCs/>
                <w:sz w:val="24"/>
              </w:rPr>
            </w:pPr>
            <w:r>
              <w:rPr>
                <w:rFonts w:hint="eastAsia"/>
                <w:bCs/>
                <w:sz w:val="24"/>
              </w:rPr>
              <w:t>QA</w:t>
            </w:r>
          </w:p>
        </w:tc>
        <w:tc>
          <w:tcPr>
            <w:tcW w:w="980" w:type="pct"/>
            <w:tcBorders>
              <w:bottom w:val="single" w:sz="8" w:space="0" w:color="auto"/>
            </w:tcBorders>
            <w:tcMar>
              <w:left w:w="28" w:type="dxa"/>
              <w:right w:w="28" w:type="dxa"/>
            </w:tcMar>
            <w:vAlign w:val="center"/>
          </w:tcPr>
          <w:p w14:paraId="78E3B928">
            <w:pPr>
              <w:snapToGrid w:val="0"/>
              <w:jc w:val="center"/>
              <w:rPr>
                <w:bCs/>
                <w:sz w:val="24"/>
              </w:rPr>
            </w:pPr>
            <w:r>
              <w:rPr>
                <w:rFonts w:hint="eastAsia"/>
                <w:bCs/>
                <w:sz w:val="24"/>
              </w:rPr>
              <w:t>苏珏</w:t>
            </w:r>
          </w:p>
        </w:tc>
        <w:tc>
          <w:tcPr>
            <w:tcW w:w="1094" w:type="pct"/>
            <w:tcBorders>
              <w:bottom w:val="single" w:sz="8" w:space="0" w:color="auto"/>
            </w:tcBorders>
            <w:tcMar>
              <w:left w:w="28" w:type="dxa"/>
              <w:right w:w="28" w:type="dxa"/>
            </w:tcMar>
            <w:vAlign w:val="center"/>
          </w:tcPr>
          <w:p w14:paraId="534320DA">
            <w:pPr>
              <w:snapToGrid w:val="0"/>
              <w:rPr>
                <w:bCs/>
                <w:sz w:val="24"/>
              </w:rPr>
            </w:pPr>
            <w:r>
              <w:rPr>
                <w:rFonts w:hint="eastAsia"/>
                <w:bCs/>
                <w:sz w:val="24"/>
              </w:rPr>
              <w:drawing>
                <wp:inline distT="0" distB="0" distL="0" distR="0">
                  <wp:extent cx="762000" cy="342900"/>
                  <wp:docPr id="4" name="Picture 4" descr="Generated"/>
                  <wp:cNvGraphicFramePr/>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7"/>
                          <a:stretch>
                            <a:fillRect/>
                          </a:stretch>
                        </pic:blipFill>
                        <pic:spPr>
                          <a:xfrm>
                            <a:off x="0" y="0"/>
                            <a:ext cx="762000" cy="342900"/>
                          </a:xfrm>
                          <a:prstGeom prst="rect">
                            <a:avLst/>
                          </a:prstGeom>
                        </pic:spPr>
                      </pic:pic>
                    </a:graphicData>
                  </a:graphic>
                </wp:inline>
              </w:drawing>
            </w:r>
          </w:p>
        </w:tc>
        <w:tc>
          <w:tcPr>
            <w:tcW w:w="1175" w:type="pct"/>
            <w:tcBorders>
              <w:bottom w:val="single" w:sz="8" w:space="0" w:color="auto"/>
              <w:right w:val="single" w:sz="8" w:space="0" w:color="auto"/>
            </w:tcBorders>
            <w:tcMar>
              <w:left w:w="28" w:type="dxa"/>
              <w:right w:w="28" w:type="dxa"/>
            </w:tcMar>
            <w:vAlign w:val="center"/>
          </w:tcPr>
          <w:p w14:paraId="515025A2">
            <w:pPr>
              <w:snapToGrid w:val="0"/>
              <w:jc w:val="center"/>
              <w:rPr>
                <w:bCs/>
                <w:sz w:val="24"/>
              </w:rPr>
            </w:pPr>
            <w:r>
              <w:rPr>
                <w:rFonts w:hint="eastAsia"/>
                <w:bCs/>
                <w:sz w:val="24"/>
              </w:rPr>
              <w:t>2024-08-19</w:t>
            </w:r>
          </w:p>
        </w:tc>
      </w:tr>
    </w:tbl>
    <w:p w14:paraId="704A6D74">
      <w:pPr>
        <w:rPr>
          <w:sz w:val="24"/>
        </w:rPr>
      </w:pPr>
    </w:p>
    <w:p w14:paraId="72560096">
      <w:pPr>
        <w:rPr>
          <w:sz w:val="24"/>
        </w:rPr>
      </w:pPr>
    </w:p>
    <w:p w14:paraId="194F8CD1">
      <w:pPr>
        <w:tabs>
          <w:tab w:val="left" w:pos="6480"/>
        </w:tabs>
        <w:ind w:right="210" w:rightChars="100"/>
        <w:rPr>
          <w:bCs/>
          <w:sz w:val="24"/>
        </w:rPr>
      </w:pPr>
    </w:p>
    <w:p w14:paraId="12A2E755">
      <w:pPr>
        <w:tabs>
          <w:tab w:val="left" w:pos="6480"/>
        </w:tabs>
        <w:ind w:right="210" w:rightChars="100"/>
        <w:rPr>
          <w:bCs/>
          <w:sz w:val="24"/>
        </w:rPr>
      </w:pPr>
    </w:p>
    <w:p w14:paraId="5DDBB8ED">
      <w:pPr>
        <w:tabs>
          <w:tab w:val="left" w:pos="6480"/>
        </w:tabs>
        <w:ind w:right="210" w:rightChars="100"/>
        <w:rPr>
          <w:bCs/>
          <w:sz w:val="24"/>
        </w:rPr>
      </w:pPr>
      <w:r>
        <w:rPr>
          <w:bCs/>
          <w:sz w:val="24"/>
        </w:rPr>
        <w:t>生效日期 Effective Date：</w:t>
      </w:r>
      <w:r>
        <w:rPr>
          <w:rFonts w:hint="eastAsia"/>
          <w:bCs/>
          <w:sz w:val="24"/>
        </w:rPr>
        <w:t>2024-08-20</w:t>
      </w:r>
    </w:p>
    <w:p w14:paraId="27A4CAA5">
      <w:pPr>
        <w:tabs>
          <w:tab w:val="left" w:pos="6480"/>
        </w:tabs>
        <w:rPr>
          <w:b/>
          <w:sz w:val="24"/>
        </w:rPr>
      </w:pPr>
    </w:p>
    <w:p w14:paraId="77FEF2A1">
      <w:pPr>
        <w:tabs>
          <w:tab w:val="left" w:pos="6480"/>
        </w:tabs>
        <w:rPr>
          <w:b/>
          <w:sz w:val="24"/>
        </w:rPr>
      </w:pPr>
    </w:p>
    <w:p w14:paraId="0AAF10C3">
      <w:pPr>
        <w:tabs>
          <w:tab w:val="left" w:pos="6480"/>
        </w:tabs>
        <w:rPr>
          <w:b/>
          <w:sz w:val="24"/>
        </w:rPr>
      </w:pPr>
    </w:p>
    <w:p w14:paraId="72FB19A1">
      <w:pPr>
        <w:tabs>
          <w:tab w:val="left" w:pos="5999"/>
        </w:tabs>
        <w:rPr>
          <w:b/>
          <w:sz w:val="24"/>
        </w:rPr>
      </w:pPr>
      <w:r>
        <w:rPr>
          <w:b/>
          <w:sz w:val="24"/>
        </w:rPr>
        <w:tab/>
      </w:r>
    </w:p>
    <w:p w14:paraId="261324D5">
      <w:pPr>
        <w:tabs>
          <w:tab w:val="left" w:pos="6480"/>
        </w:tabs>
        <w:rPr>
          <w:b/>
          <w:sz w:val="24"/>
        </w:rPr>
      </w:pPr>
      <w:bookmarkStart w:id="1" w:name="部门编号"/>
      <w:bookmarkEnd w:id="1"/>
    </w:p>
    <w:p w14:paraId="0CB830FE">
      <w:pPr>
        <w:tabs>
          <w:tab w:val="left" w:pos="6480"/>
        </w:tabs>
        <w:rPr>
          <w:b/>
          <w:sz w:val="24"/>
        </w:rPr>
      </w:pPr>
    </w:p>
    <w:p w14:paraId="3FAAD3AB">
      <w:pPr>
        <w:sectPr>
          <w:headerReference w:type="even" r:id="rId8"/>
          <w:headerReference w:type="default" r:id="rId9"/>
          <w:footerReference w:type="default" r:id="rId10"/>
          <w:headerReference w:type="first" r:id="rId11"/>
          <w:pgSz w:w="11906" w:h="16838"/>
          <w:pgMar w:top="1985" w:right="1418" w:bottom="851" w:left="1418" w:header="851" w:footer="992" w:gutter="0"/>
          <w:cols w:num="1" w:space="425"/>
          <w:docGrid w:type="lines" w:linePitch="312" w:charSpace="0"/>
        </w:sectPr>
      </w:pPr>
    </w:p>
    <w:p w:rsidR="00382031" w:rsidRPr="0006279F" w:rsidP="00382031" w14:paraId="0E83D7B2" w14:textId="61D339DD">
      <w:pPr>
        <w:pStyle w:val="10"/>
        <w:numPr>
          <w:numId w:val="1"/>
        </w:numPr>
        <w:spacing w:after="240"/>
        <w:jc w:val="left"/>
      </w:pPr>
      <w:bookmarkStart w:id="6" w:name="_Hlk172126479"/>
      <w:r w:rsidRPr="0006279F">
        <w:t>目的</w:t>
      </w:r>
      <w:r w:rsidRPr="0006279F">
        <w:t>PURPOSE</w:t>
      </w:r>
      <w:r w:rsidRPr="0006279F">
        <w:rPr>
          <w:rFonts w:hint="eastAsia"/>
        </w:rPr>
        <w:br/>
      </w:r>
      <w:bookmarkStart w:id="7" w:name="OLE_LINK13"/>
      <w:r w:rsidRPr="0006279F">
        <w:rPr>
          <w:rFonts w:hint="eastAsia"/>
          <w:szCs w:val="21"/>
          <w:lang w:val="en-GB"/>
        </w:rPr>
        <w:t>建立成品和中间产品取样的管理程序，规范成品和中间产品取样操作过程</w:t>
      </w:r>
      <w:r w:rsidRPr="0006279F">
        <w:rPr>
          <w:rFonts w:eastAsiaTheme="minorEastAsia" w:hint="eastAsia"/>
        </w:rPr>
        <w:t>。</w:t>
      </w:r>
      <w:r w:rsidRPr="0006279F">
        <w:rPr>
          <w:rFonts w:eastAsia="Times New Roman"/>
        </w:rPr>
        <w:br/>
        <w:t xml:space="preserve">Establish a management procedure for sampling finished and in-process products, and standardize the sampling process for finished and in-process material. </w:t>
      </w:r>
    </w:p>
    <w:p w:rsidR="00382031" w:rsidRPr="0006279F" w:rsidP="00382031" w14:paraId="72F692AA" w14:textId="77777777">
      <w:pPr>
        <w:pStyle w:val="10"/>
        <w:numPr>
          <w:numId w:val="1"/>
        </w:numPr>
        <w:spacing w:after="240"/>
        <w:jc w:val="left"/>
      </w:pPr>
      <w:r w:rsidRPr="0006279F">
        <w:t>范围</w:t>
      </w:r>
      <w:r w:rsidRPr="0006279F">
        <w:t>SCOPE</w:t>
      </w:r>
      <w:r w:rsidRPr="0006279F">
        <w:br/>
      </w:r>
      <w:r w:rsidRPr="0006279F">
        <w:t>本文件</w:t>
      </w:r>
      <w:r w:rsidRPr="0006279F">
        <w:t>适用于诺峰药业</w:t>
      </w:r>
      <w:r w:rsidRPr="0006279F">
        <w:t>（成都）有限公司（</w:t>
      </w:r>
      <w:r w:rsidRPr="0006279F">
        <w:t>ZENNOVA</w:t>
      </w:r>
      <w:r w:rsidRPr="0006279F">
        <w:t>）</w:t>
      </w:r>
      <w:r w:rsidRPr="0006279F">
        <w:rPr>
          <w:rFonts w:hint="eastAsia"/>
        </w:rPr>
        <w:t>所有成品、</w:t>
      </w:r>
      <w:r w:rsidRPr="0006279F">
        <w:rPr>
          <w:rFonts w:hAnsi="宋体" w:hint="eastAsia"/>
        </w:rPr>
        <w:t>中间产品取样以及原辅料预处理的取样</w:t>
      </w:r>
      <w:r w:rsidRPr="0006279F">
        <w:rPr>
          <w:rFonts w:hint="eastAsia"/>
        </w:rPr>
        <w:t>。</w:t>
      </w:r>
      <w:r w:rsidRPr="0006279F">
        <w:rPr>
          <w:rFonts w:eastAsia="Times New Roman"/>
        </w:rPr>
        <w:br/>
        <w:t xml:space="preserve">This document applies to the sampling of all finished products, intermediate products, and raw material pretreatment of ZENNOVA Pharmaceutical (Chengdu) Co., Ltd. </w:t>
      </w:r>
    </w:p>
    <w:bookmarkEnd w:id="7"/>
    <w:p w:rsidR="00382031" w:rsidRPr="0006279F" w:rsidP="00382031" w14:paraId="78657D23" w14:textId="77777777">
      <w:pPr>
        <w:pStyle w:val="Normal0"/>
        <w:numPr>
          <w:ilvl w:val="0"/>
          <w:numId w:val="1"/>
        </w:numPr>
        <w:spacing w:after="240" w:afterLines="100"/>
        <w:rPr>
          <w:sz w:val="24"/>
        </w:rPr>
      </w:pPr>
      <w:r w:rsidRPr="0006279F">
        <w:rPr>
          <w:sz w:val="24"/>
        </w:rPr>
        <w:t>参考</w:t>
      </w:r>
      <w:r w:rsidRPr="0006279F">
        <w:rPr>
          <w:sz w:val="24"/>
        </w:rPr>
        <w:t>REFERENCE</w:t>
      </w:r>
    </w:p>
    <w:p w:rsidR="00382031" w:rsidRPr="0006279F" w:rsidP="00382031" w14:paraId="687EB1CE" w14:textId="1E5414DF">
      <w:pPr>
        <w:pStyle w:val="20"/>
        <w:numPr>
          <w:numId w:val="1"/>
        </w:numPr>
        <w:tabs>
          <w:tab w:val="left" w:pos="992"/>
        </w:tabs>
        <w:spacing w:after="240"/>
      </w:pPr>
      <w:r w:rsidRPr="0006279F">
        <w:rPr>
          <w:rFonts w:hint="eastAsia"/>
        </w:rPr>
        <w:t>中国药品生产质量管理规范（</w:t>
      </w:r>
      <w:r w:rsidRPr="0006279F">
        <w:rPr>
          <w:rFonts w:hint="eastAsia"/>
        </w:rPr>
        <w:t>2010</w:t>
      </w:r>
      <w:r w:rsidRPr="0006279F">
        <w:rPr>
          <w:rFonts w:hint="eastAsia"/>
        </w:rPr>
        <w:t>年修订版）</w:t>
      </w:r>
      <w:r w:rsidRPr="0006279F">
        <w:rPr>
          <w:rFonts w:eastAsia="Times New Roman"/>
        </w:rPr>
        <w:br/>
        <w:t>Chinese Good Manufacturing Practice for Drugs (Revised in 2010)</w:t>
      </w:r>
    </w:p>
    <w:p w:rsidR="00382031" w:rsidRPr="0006279F" w:rsidP="00382031" w14:paraId="5F78230C" w14:textId="1AB16A95">
      <w:pPr>
        <w:pStyle w:val="20"/>
        <w:numPr>
          <w:numId w:val="1"/>
        </w:numPr>
        <w:tabs>
          <w:tab w:val="left" w:pos="992"/>
        </w:tabs>
        <w:spacing w:after="240"/>
      </w:pPr>
      <w:r w:rsidRPr="0006279F">
        <w:rPr>
          <w:rFonts w:hint="eastAsia"/>
          <w:szCs w:val="21"/>
        </w:rPr>
        <w:t>中国</w:t>
      </w:r>
      <w:r w:rsidRPr="0006279F">
        <w:rPr>
          <w:rFonts w:hint="eastAsia"/>
          <w:szCs w:val="21"/>
        </w:rPr>
        <w:t>GMP</w:t>
      </w:r>
      <w:r w:rsidRPr="0006279F">
        <w:rPr>
          <w:rFonts w:hint="eastAsia"/>
          <w:szCs w:val="21"/>
        </w:rPr>
        <w:t>指南—质量管理体系</w:t>
      </w:r>
      <w:r w:rsidRPr="0006279F">
        <w:rPr>
          <w:rFonts w:eastAsia="Times New Roman"/>
        </w:rPr>
        <w:br/>
        <w:t>Chinese GMP Guidelines - Quality Management Systems</w:t>
      </w:r>
    </w:p>
    <w:p w:rsidR="00382031" w:rsidRPr="0006279F" w:rsidP="00382031" w14:paraId="1EE55CD3" w14:textId="77777777">
      <w:pPr>
        <w:pStyle w:val="20"/>
        <w:numPr>
          <w:numId w:val="1"/>
        </w:numPr>
        <w:tabs>
          <w:tab w:val="left" w:pos="992"/>
        </w:tabs>
        <w:spacing w:after="240"/>
      </w:pPr>
      <w:r w:rsidRPr="0006279F">
        <w:t xml:space="preserve">FDA CFR 211 </w:t>
      </w:r>
    </w:p>
    <w:p w:rsidR="00382031" w:rsidRPr="0006279F" w:rsidP="00382031" w14:paraId="6026DFD8" w14:textId="199ED071">
      <w:pPr>
        <w:pStyle w:val="20"/>
        <w:numPr>
          <w:numId w:val="1"/>
        </w:numPr>
        <w:tabs>
          <w:tab w:val="left" w:pos="992"/>
        </w:tabs>
        <w:spacing w:after="240"/>
      </w:pPr>
      <w:r w:rsidRPr="0006279F">
        <w:rPr>
          <w:rFonts w:hint="eastAsia"/>
        </w:rPr>
        <w:t>SMP-PD-021</w:t>
      </w:r>
      <w:r w:rsidRPr="0006279F">
        <w:rPr>
          <w:rFonts w:hint="eastAsia"/>
        </w:rPr>
        <w:t>《</w:t>
      </w:r>
      <w:r w:rsidRPr="0006279F">
        <w:rPr>
          <w:rFonts w:hint="eastAsia"/>
        </w:rPr>
        <w:t>OSD</w:t>
      </w:r>
      <w:r w:rsidRPr="0006279F">
        <w:rPr>
          <w:rFonts w:hint="eastAsia"/>
        </w:rPr>
        <w:t>车间工器具管理》</w:t>
      </w:r>
      <w:r w:rsidRPr="0006279F">
        <w:rPr>
          <w:rFonts w:eastAsia="Times New Roman"/>
        </w:rPr>
        <w:br/>
        <w:t xml:space="preserve">SMP-PD-021 </w:t>
      </w:r>
      <w:r w:rsidRPr="0006279F">
        <w:rPr>
          <w:noProof/>
          <w:kern w:val="0"/>
        </w:rPr>
        <w:t>Tool Management of OSD Workshop</w:t>
      </w:r>
    </w:p>
    <w:p w:rsidR="00382031" w:rsidRPr="0006279F" w:rsidP="00382031" w14:paraId="6519FF12" w14:textId="4E229A1F">
      <w:pPr>
        <w:pStyle w:val="20"/>
        <w:numPr>
          <w:numId w:val="1"/>
        </w:numPr>
        <w:tabs>
          <w:tab w:val="left" w:pos="992"/>
        </w:tabs>
        <w:spacing w:after="240"/>
      </w:pPr>
      <w:r w:rsidRPr="0006279F">
        <w:t>SMP-QC-004</w:t>
      </w:r>
      <w:r w:rsidRPr="0006279F">
        <w:rPr>
          <w:rFonts w:hint="eastAsia"/>
        </w:rPr>
        <w:t>《</w:t>
      </w:r>
      <w:r w:rsidRPr="0006279F">
        <w:t>QC</w:t>
      </w:r>
      <w:r w:rsidRPr="0006279F">
        <w:rPr>
          <w:rFonts w:hint="eastAsia"/>
        </w:rPr>
        <w:t>实验室样品管理》</w:t>
      </w:r>
      <w:r w:rsidRPr="0006279F">
        <w:br/>
        <w:t>Sample Management in QC Laboratory</w:t>
      </w:r>
    </w:p>
    <w:p w:rsidR="00382031" w:rsidRPr="0006279F" w:rsidP="00382031" w14:paraId="4E664F77" w14:textId="72AAD256">
      <w:pPr>
        <w:pStyle w:val="10"/>
        <w:numPr>
          <w:numId w:val="1"/>
        </w:numPr>
        <w:spacing w:after="240"/>
      </w:pPr>
      <w:r w:rsidRPr="0006279F">
        <w:t>职责</w:t>
      </w:r>
      <w:r w:rsidRPr="0006279F">
        <w:t xml:space="preserve"> RESPONSIBILITIES</w:t>
      </w:r>
    </w:p>
    <w:p w:rsidR="00382031" w:rsidRPr="0006279F" w:rsidP="00382031" w14:paraId="46035495" w14:textId="3767679A">
      <w:pPr>
        <w:pStyle w:val="20"/>
        <w:numPr>
          <w:numId w:val="1"/>
        </w:numPr>
        <w:tabs>
          <w:tab w:val="left" w:pos="992"/>
        </w:tabs>
        <w:spacing w:after="240"/>
      </w:pPr>
      <w:r w:rsidRPr="0006279F">
        <w:rPr>
          <w:rFonts w:hint="eastAsia"/>
        </w:rPr>
        <w:t>现场</w:t>
      </w:r>
      <w:r w:rsidRPr="0006279F">
        <w:rPr>
          <w:rFonts w:hint="eastAsia"/>
        </w:rPr>
        <w:t>QA</w:t>
      </w:r>
      <w:r w:rsidRPr="0006279F">
        <w:rPr>
          <w:rFonts w:hint="eastAsia"/>
        </w:rPr>
        <w:t>负责按照规程对成品和中间产品进行取样并送至</w:t>
      </w:r>
      <w:r w:rsidRPr="0006279F">
        <w:rPr>
          <w:rFonts w:hint="eastAsia"/>
        </w:rPr>
        <w:t>QC</w:t>
      </w:r>
      <w:r w:rsidRPr="0006279F">
        <w:rPr>
          <w:rFonts w:hint="eastAsia"/>
        </w:rPr>
        <w:t>检验。</w:t>
      </w:r>
      <w:r w:rsidRPr="0006279F">
        <w:rPr>
          <w:rFonts w:eastAsia="Times New Roman"/>
        </w:rPr>
        <w:br/>
      </w:r>
      <w:r w:rsidRPr="0006279F" w:rsidR="001B5C97">
        <w:rPr>
          <w:rFonts w:eastAsia="Times New Roman"/>
        </w:rPr>
        <w:t xml:space="preserve">QA </w:t>
      </w:r>
      <w:r w:rsidRPr="0006279F">
        <w:rPr>
          <w:rFonts w:eastAsia="Times New Roman"/>
        </w:rPr>
        <w:t>On-site is responsible for sampling and sending finished and intermediate products to QC for inspection in accordance with protocols.</w:t>
      </w:r>
    </w:p>
    <w:p w:rsidR="00382031" w:rsidRPr="0006279F" w:rsidP="00382031" w14:paraId="08D0B57E" w14:textId="5CF7C889">
      <w:pPr>
        <w:pStyle w:val="20"/>
        <w:numPr>
          <w:numId w:val="1"/>
        </w:numPr>
        <w:tabs>
          <w:tab w:val="left" w:pos="992"/>
        </w:tabs>
        <w:spacing w:after="240"/>
      </w:pPr>
      <w:r w:rsidRPr="0006279F">
        <w:rPr>
          <w:rFonts w:hint="eastAsia"/>
        </w:rPr>
        <w:t>车间人员负责协助现场</w:t>
      </w:r>
      <w:r w:rsidRPr="0006279F">
        <w:rPr>
          <w:rFonts w:hint="eastAsia"/>
        </w:rPr>
        <w:t>QA</w:t>
      </w:r>
      <w:r w:rsidRPr="0006279F">
        <w:rPr>
          <w:rFonts w:hint="eastAsia"/>
        </w:rPr>
        <w:t>取样。</w:t>
      </w:r>
      <w:r w:rsidRPr="0006279F">
        <w:rPr>
          <w:rFonts w:eastAsia="Times New Roman"/>
        </w:rPr>
        <w:br/>
        <w:t xml:space="preserve">Workshop personnel are responsible for assisting </w:t>
      </w:r>
      <w:r w:rsidRPr="0006279F" w:rsidR="001B5C97">
        <w:rPr>
          <w:rFonts w:eastAsia="Times New Roman"/>
        </w:rPr>
        <w:t xml:space="preserve">QA </w:t>
      </w:r>
      <w:r w:rsidRPr="0006279F">
        <w:rPr>
          <w:rFonts w:eastAsia="Times New Roman"/>
        </w:rPr>
        <w:t>on-site sampling.</w:t>
      </w:r>
    </w:p>
    <w:p w:rsidR="00382031" w:rsidRPr="0006279F" w:rsidP="00382031" w14:paraId="49CF62B0" w14:textId="77777777">
      <w:pPr>
        <w:pStyle w:val="20"/>
        <w:numPr>
          <w:numId w:val="1"/>
        </w:numPr>
        <w:tabs>
          <w:tab w:val="left" w:pos="992"/>
        </w:tabs>
        <w:spacing w:after="240"/>
        <w:jc w:val="left"/>
      </w:pPr>
      <w:r w:rsidRPr="0006279F">
        <w:rPr>
          <w:rFonts w:eastAsiaTheme="minorEastAsia"/>
        </w:rPr>
        <w:t>QC</w:t>
      </w:r>
      <w:r w:rsidRPr="0006279F">
        <w:rPr>
          <w:rFonts w:eastAsiaTheme="minorEastAsia" w:hint="eastAsia"/>
        </w:rPr>
        <w:t>负责准备相应的取样容器、标签等，负责额外检验需要的仓库成品取样。</w:t>
      </w:r>
      <w:r w:rsidRPr="0006279F">
        <w:rPr>
          <w:rFonts w:eastAsia="Times New Roman"/>
        </w:rPr>
        <w:br/>
        <w:t>QC is responsible for preparing the appropriate sampling containers, identifications and others and is responsible for additional inspection needs of the warehouse finished product sampling.</w:t>
      </w:r>
    </w:p>
    <w:p w:rsidR="00382031" w:rsidRPr="0006279F" w:rsidP="00382031" w14:paraId="3409D174" w14:textId="77777777">
      <w:pPr>
        <w:pStyle w:val="Normal0"/>
        <w:numPr>
          <w:ilvl w:val="0"/>
          <w:numId w:val="1"/>
        </w:numPr>
        <w:spacing w:after="240" w:afterLines="100"/>
        <w:rPr>
          <w:sz w:val="24"/>
        </w:rPr>
      </w:pPr>
      <w:r w:rsidRPr="0006279F">
        <w:rPr>
          <w:rFonts w:hint="eastAsia"/>
          <w:sz w:val="24"/>
        </w:rPr>
        <w:t>定义</w:t>
      </w:r>
      <w:r w:rsidRPr="0006279F">
        <w:rPr>
          <w:rFonts w:hint="eastAsia"/>
          <w:sz w:val="24"/>
        </w:rPr>
        <w:t>/</w:t>
      </w:r>
      <w:r w:rsidRPr="0006279F">
        <w:rPr>
          <w:rFonts w:hint="eastAsia"/>
          <w:sz w:val="24"/>
        </w:rPr>
        <w:t>缩略词</w:t>
      </w:r>
      <w:r w:rsidRPr="0006279F">
        <w:rPr>
          <w:sz w:val="24"/>
        </w:rPr>
        <w:t xml:space="preserve"> DEFINITIONS/ABBREVIATIONS</w:t>
      </w:r>
    </w:p>
    <w:p w:rsidR="00382031" w:rsidRPr="0006279F" w:rsidP="00382031" w14:paraId="77B52EF9" w14:textId="77777777">
      <w:pPr>
        <w:pStyle w:val="20"/>
        <w:numPr>
          <w:numId w:val="1"/>
        </w:numPr>
        <w:tabs>
          <w:tab w:val="left" w:pos="992"/>
        </w:tabs>
        <w:spacing w:after="240"/>
      </w:pPr>
      <w:r w:rsidRPr="0006279F">
        <w:t>中间</w:t>
      </w:r>
      <w:r w:rsidRPr="0006279F">
        <w:rPr>
          <w:rFonts w:hint="eastAsia"/>
        </w:rPr>
        <w:t>产品</w:t>
      </w:r>
      <w:r w:rsidRPr="0006279F">
        <w:t>：</w:t>
      </w:r>
      <w:r w:rsidRPr="0006279F">
        <w:rPr>
          <w:rFonts w:hint="eastAsia"/>
        </w:rPr>
        <w:t>系指公司生产车间在完成部分加工步骤之后的产品</w:t>
      </w:r>
      <w:r w:rsidRPr="0006279F">
        <w:t>，即在它成为</w:t>
      </w:r>
      <w:r w:rsidRPr="0006279F">
        <w:rPr>
          <w:rFonts w:hint="eastAsia"/>
        </w:rPr>
        <w:t>待包装产品</w:t>
      </w:r>
      <w:r w:rsidRPr="0006279F">
        <w:t>或成品之前必须经过进一步加工处理</w:t>
      </w:r>
      <w:r w:rsidRPr="0006279F">
        <w:rPr>
          <w:rFonts w:hint="eastAsia"/>
        </w:rPr>
        <w:t>的产品。</w:t>
      </w:r>
      <w:r w:rsidRPr="0006279F">
        <w:rPr>
          <w:rFonts w:eastAsia="Times New Roman"/>
        </w:rPr>
        <w:br/>
        <w:t>Intermediate product: refers to the product produced by the company's production workshop after completing some processing steps, that is, the product that must undergo further processing before it becomes a packaged or finished product.</w:t>
      </w:r>
    </w:p>
    <w:p w:rsidR="00382031" w:rsidRPr="0006279F" w:rsidP="00382031" w14:paraId="7CD7EC82" w14:textId="77777777">
      <w:pPr>
        <w:pStyle w:val="20"/>
        <w:numPr>
          <w:numId w:val="1"/>
        </w:numPr>
        <w:tabs>
          <w:tab w:val="left" w:pos="992"/>
        </w:tabs>
        <w:spacing w:after="240"/>
      </w:pPr>
      <w:r w:rsidRPr="0006279F">
        <w:rPr>
          <w:rFonts w:hint="eastAsia"/>
        </w:rPr>
        <w:t>取样：药品生产过程的取样是指为一特定目的，自某一总体（物料和产品）中抽取样品的操作。取样操作要保证样品的代表性。</w:t>
      </w:r>
      <w:r w:rsidRPr="0006279F">
        <w:rPr>
          <w:rFonts w:eastAsia="Times New Roman"/>
        </w:rPr>
        <w:br/>
        <w:t xml:space="preserve">Sampling: Sampling during the drug production process refers to the operation of extracting samples from a specific population (materials and products) for a specific purpose. </w:t>
      </w:r>
      <w:bookmarkStart w:id="8" w:name="NT_SRC_0000000101"/>
      <w:r w:rsidRPr="0006279F">
        <w:rPr>
          <w:rFonts w:eastAsia="Times New Roman"/>
        </w:rPr>
        <w:t>The sampling operation should ensure the representativeness of the sample.</w:t>
      </w:r>
      <w:bookmarkEnd w:id="8"/>
    </w:p>
    <w:p w:rsidR="00382031" w:rsidRPr="0006279F" w:rsidP="00382031" w14:paraId="0299205B" w14:textId="77777777">
      <w:pPr>
        <w:pStyle w:val="20"/>
        <w:numPr>
          <w:numId w:val="1"/>
        </w:numPr>
        <w:tabs>
          <w:tab w:val="left" w:pos="992"/>
        </w:tabs>
        <w:spacing w:after="240"/>
      </w:pPr>
      <w:r w:rsidRPr="0006279F">
        <w:t>BMF</w:t>
      </w:r>
      <w:r w:rsidRPr="0006279F">
        <w:rPr>
          <w:rFonts w:hint="eastAsia"/>
        </w:rPr>
        <w:t>法取样规则：将产品按加工顺序分成三部分，第一部分为生产中前三分之一，包括最初生产的部分产品，称为“</w:t>
      </w:r>
      <w:r w:rsidRPr="0006279F">
        <w:t>B</w:t>
      </w:r>
      <w:r w:rsidRPr="0006279F">
        <w:rPr>
          <w:rFonts w:hint="eastAsia"/>
        </w:rPr>
        <w:t>”，第二部分为生产中间三分之一，按相同的产品包装间隔分次取样，称为“</w:t>
      </w:r>
      <w:r w:rsidRPr="0006279F">
        <w:t>M</w:t>
      </w:r>
      <w:r w:rsidRPr="0006279F">
        <w:rPr>
          <w:rFonts w:hint="eastAsia"/>
        </w:rPr>
        <w:t>”，第三部分为后三分之一，包括</w:t>
      </w:r>
      <w:r w:rsidRPr="0006279F">
        <w:rPr>
          <w:rFonts w:hint="eastAsia"/>
        </w:rPr>
        <w:t>批最终</w:t>
      </w:r>
      <w:r w:rsidRPr="0006279F">
        <w:rPr>
          <w:rFonts w:hint="eastAsia"/>
        </w:rPr>
        <w:t>生产的部分产品，称为“</w:t>
      </w:r>
      <w:r w:rsidRPr="0006279F">
        <w:t>F</w:t>
      </w:r>
      <w:r w:rsidRPr="0006279F">
        <w:rPr>
          <w:rFonts w:hint="eastAsia"/>
        </w:rPr>
        <w:t>”。各部分分别</w:t>
      </w:r>
      <w:r w:rsidRPr="0006279F">
        <w:rPr>
          <w:rFonts w:hint="eastAsia"/>
        </w:rPr>
        <w:t>取总取样</w:t>
      </w:r>
      <w:r w:rsidRPr="0006279F">
        <w:rPr>
          <w:rFonts w:hint="eastAsia"/>
        </w:rPr>
        <w:t>量的三分之一，随机取样。</w:t>
      </w:r>
      <w:r w:rsidRPr="0006279F">
        <w:rPr>
          <w:rFonts w:eastAsia="Times New Roman"/>
        </w:rPr>
        <w:br/>
        <w:t xml:space="preserve">Sampling rules of BMF method: The product is divided into three steps according to the processing order. The first part is the first third of production, including the initially produced products, called "B". The second part is the middle third of production, which is sampled in batches at the same packaging interval, called "M". The third part is the last third, including the final batch of products, called "F". </w:t>
      </w:r>
      <w:bookmarkStart w:id="9" w:name="NT_SRC_0000000104"/>
      <w:r w:rsidRPr="0006279F">
        <w:rPr>
          <w:rFonts w:eastAsia="Times New Roman"/>
        </w:rPr>
        <w:t>Take one-third of the total sampling amount for each section and random sample.</w:t>
      </w:r>
      <w:bookmarkEnd w:id="9"/>
    </w:p>
    <w:p w:rsidR="00382031" w:rsidRPr="0006279F" w:rsidP="00382031" w14:paraId="477AF08A" w14:textId="77777777">
      <w:pPr>
        <w:pStyle w:val="Normal0"/>
        <w:numPr>
          <w:ilvl w:val="0"/>
          <w:numId w:val="1"/>
        </w:numPr>
        <w:spacing w:before="240" w:beforeLines="100" w:after="240" w:afterLines="100"/>
        <w:rPr>
          <w:sz w:val="24"/>
        </w:rPr>
      </w:pPr>
      <w:r w:rsidRPr="0006279F">
        <w:rPr>
          <w:rFonts w:hint="eastAsia"/>
          <w:sz w:val="24"/>
        </w:rPr>
        <w:t>程序</w:t>
      </w:r>
      <w:r w:rsidRPr="0006279F">
        <w:rPr>
          <w:sz w:val="24"/>
        </w:rPr>
        <w:t xml:space="preserve"> PROCEDURE</w:t>
      </w:r>
    </w:p>
    <w:p w:rsidR="00382031" w:rsidRPr="0006279F" w:rsidP="001B5C97" w14:paraId="64994330" w14:textId="2B13D8A6">
      <w:pPr>
        <w:pStyle w:val="20"/>
        <w:numPr>
          <w:numId w:val="1"/>
        </w:numPr>
        <w:tabs>
          <w:tab w:val="left" w:pos="992"/>
        </w:tabs>
        <w:spacing w:after="240"/>
        <w:jc w:val="left"/>
      </w:pPr>
      <w:r w:rsidRPr="0006279F">
        <w:rPr>
          <w:rFonts w:eastAsiaTheme="minorEastAsia" w:hint="eastAsia"/>
        </w:rPr>
        <w:t>人员要求</w:t>
      </w:r>
      <w:r w:rsidRPr="0006279F">
        <w:rPr>
          <w:rFonts w:eastAsiaTheme="minorEastAsia"/>
        </w:rPr>
        <w:br/>
      </w:r>
      <w:r w:rsidRPr="0006279F">
        <w:t>Personnel requirements</w:t>
      </w:r>
      <w:r w:rsidRPr="0006279F">
        <w:br/>
      </w:r>
      <w:r w:rsidRPr="0006279F">
        <w:rPr>
          <w:rFonts w:hint="eastAsia"/>
        </w:rPr>
        <w:t>现场</w:t>
      </w:r>
      <w:r w:rsidRPr="0006279F">
        <w:rPr>
          <w:rFonts w:hint="eastAsia"/>
        </w:rPr>
        <w:t>QA</w:t>
      </w:r>
      <w:r w:rsidRPr="0006279F">
        <w:rPr>
          <w:rFonts w:hint="eastAsia"/>
        </w:rPr>
        <w:t>应经成品和中间产品取样操作培训并考核合格后，经资质确认后方可上岗独立取样。</w:t>
      </w:r>
      <w:r w:rsidRPr="0006279F">
        <w:br/>
      </w:r>
      <w:r w:rsidRPr="0006279F" w:rsidR="001B5C97">
        <w:t xml:space="preserve">QA </w:t>
      </w:r>
      <w:r w:rsidRPr="0006279F" w:rsidR="001B5C97">
        <w:rPr>
          <w:rFonts w:eastAsia="Times New Roman"/>
        </w:rPr>
        <w:t>On-site</w:t>
      </w:r>
      <w:r w:rsidRPr="0006279F">
        <w:t xml:space="preserve"> should receive training on sampling operations for finished and intermediate products, pass the assessment, and obtain qualification confirmation before taking up independent sampling positions.</w:t>
      </w:r>
    </w:p>
    <w:p w:rsidR="00382031" w:rsidRPr="0006279F" w:rsidP="00382031" w14:paraId="66B37C59" w14:textId="77777777">
      <w:pPr>
        <w:pStyle w:val="20"/>
        <w:numPr>
          <w:numId w:val="1"/>
        </w:numPr>
        <w:tabs>
          <w:tab w:val="left" w:pos="992"/>
        </w:tabs>
        <w:spacing w:after="240"/>
      </w:pPr>
      <w:r w:rsidRPr="0006279F">
        <w:rPr>
          <w:rFonts w:hint="eastAsia"/>
        </w:rPr>
        <w:t>取样地点</w:t>
      </w:r>
      <w:r w:rsidRPr="0006279F">
        <w:rPr>
          <w:rFonts w:eastAsia="Times New Roman"/>
        </w:rPr>
        <w:br/>
        <w:t>Sampling location</w:t>
      </w:r>
    </w:p>
    <w:p w:rsidR="00382031" w:rsidRPr="0006279F" w:rsidP="001B5C97" w14:paraId="0EB66276" w14:textId="77777777">
      <w:pPr>
        <w:pStyle w:val="3"/>
        <w:numPr>
          <w:numId w:val="1"/>
        </w:numPr>
        <w:tabs>
          <w:tab w:val="left" w:pos="1701"/>
        </w:tabs>
        <w:spacing w:after="240"/>
        <w:jc w:val="left"/>
      </w:pPr>
      <w:r w:rsidRPr="0006279F">
        <w:rPr>
          <w:rFonts w:hint="eastAsia"/>
        </w:rPr>
        <w:t>中间产品的取样应在对应的生产工序进行，取样过程中涉及设备的操作（如打开料斗盖等），岗位操作人员需进行协助。</w:t>
      </w:r>
      <w:r w:rsidRPr="0006279F">
        <w:rPr>
          <w:rFonts w:eastAsia="Times New Roman"/>
        </w:rPr>
        <w:br/>
        <w:t>The sampling of intermediate products should be carried out in the corresponding production process, and the sampling process involves equipment operation (such as opening the hopper cover), and the post operator needs to provide assistance.</w:t>
      </w:r>
    </w:p>
    <w:p w:rsidR="00382031" w:rsidRPr="0006279F" w:rsidP="00382031" w14:paraId="05EC1393" w14:textId="77777777">
      <w:pPr>
        <w:pStyle w:val="3"/>
        <w:numPr>
          <w:numId w:val="1"/>
        </w:numPr>
        <w:tabs>
          <w:tab w:val="left" w:pos="1701"/>
        </w:tabs>
        <w:spacing w:after="240"/>
      </w:pPr>
      <w:r w:rsidRPr="0006279F">
        <w:rPr>
          <w:rFonts w:hint="eastAsia"/>
        </w:rPr>
        <w:t>成品的取样可在内包装工序进行，如泡罩包装、</w:t>
      </w:r>
      <w:r w:rsidRPr="0006279F">
        <w:rPr>
          <w:rFonts w:hint="eastAsia"/>
        </w:rPr>
        <w:t>瓶包工序</w:t>
      </w:r>
      <w:r w:rsidRPr="0006279F">
        <w:rPr>
          <w:rFonts w:hint="eastAsia"/>
        </w:rPr>
        <w:t>。</w:t>
      </w:r>
      <w:r w:rsidRPr="0006279F">
        <w:rPr>
          <w:rFonts w:eastAsia="Times New Roman"/>
        </w:rPr>
        <w:br/>
        <w:t>The sampling of finished products can be carried out in internal packaging processes, such as blister packaging and bottle packaging processes.</w:t>
      </w:r>
    </w:p>
    <w:p w:rsidR="00382031" w:rsidRPr="0006279F" w:rsidP="00382031" w14:paraId="4CB7A58D" w14:textId="77777777">
      <w:pPr>
        <w:pStyle w:val="20"/>
        <w:numPr>
          <w:numId w:val="1"/>
        </w:numPr>
        <w:tabs>
          <w:tab w:val="left" w:pos="992"/>
        </w:tabs>
        <w:spacing w:after="240"/>
      </w:pPr>
      <w:r w:rsidRPr="0006279F">
        <w:rPr>
          <w:rFonts w:hint="eastAsia"/>
        </w:rPr>
        <w:t>取样工具</w:t>
      </w:r>
      <w:r w:rsidRPr="0006279F">
        <w:rPr>
          <w:rFonts w:eastAsia="Times New Roman"/>
        </w:rPr>
        <w:br/>
        <w:t>Sampling tools</w:t>
      </w:r>
    </w:p>
    <w:p w:rsidR="00382031" w:rsidRPr="0006279F" w:rsidP="00382031" w14:paraId="3C56E013" w14:textId="77777777">
      <w:pPr>
        <w:pStyle w:val="3"/>
        <w:numPr>
          <w:numId w:val="1"/>
        </w:numPr>
        <w:tabs>
          <w:tab w:val="left" w:pos="1701"/>
        </w:tabs>
        <w:spacing w:after="240"/>
      </w:pPr>
      <w:r w:rsidRPr="0006279F">
        <w:rPr>
          <w:rFonts w:hint="eastAsia"/>
        </w:rPr>
        <w:t>通用要求</w:t>
      </w:r>
      <w:r w:rsidRPr="0006279F">
        <w:rPr>
          <w:rFonts w:eastAsia="Times New Roman"/>
        </w:rPr>
        <w:br/>
        <w:t>General requirements</w:t>
      </w:r>
    </w:p>
    <w:p w:rsidR="00382031" w:rsidRPr="0006279F" w:rsidP="00382031" w14:paraId="6BDF082D" w14:textId="14F9AA20">
      <w:pPr>
        <w:pStyle w:val="4"/>
        <w:numPr>
          <w:numId w:val="1"/>
        </w:numPr>
        <w:spacing w:after="240"/>
        <w:rPr>
          <w:rFonts w:eastAsia="Times New Roman"/>
        </w:rPr>
      </w:pPr>
      <w:r w:rsidRPr="0006279F">
        <w:rPr>
          <w:rFonts w:hint="eastAsia"/>
        </w:rPr>
        <w:t>应该根据要取的样品选择合适的取样器具。取样器具应当平整、光洁、易清洗或消毒</w:t>
      </w:r>
      <w:r w:rsidRPr="0006279F">
        <w:rPr>
          <w:rFonts w:hint="eastAsia"/>
        </w:rPr>
        <w:t>/</w:t>
      </w:r>
      <w:r w:rsidRPr="0006279F">
        <w:rPr>
          <w:rFonts w:hint="eastAsia"/>
        </w:rPr>
        <w:t>灭菌、耐腐蚀，不得与药品发生化学反应、吸附药品或向药品中释放物质；如不锈钢、玻璃等惰性材料。</w:t>
      </w:r>
      <w:r w:rsidRPr="0006279F">
        <w:rPr>
          <w:rFonts w:eastAsia="Times New Roman"/>
        </w:rPr>
        <w:br/>
        <w:t>Suitable sampling equipment should be selected based on the sample to be taken. Sampling equipment should be flat, smooth, easy to clean or disinfect/sterilize, corrosion-resistant, and should not undergo chemical reactions with drugs, adsorb drugs, or release substances into drugs like stainless steel, glass and other iner</w:t>
      </w:r>
      <w:r w:rsidRPr="0006279F" w:rsidR="001B5C97">
        <w:rPr>
          <w:rFonts w:eastAsia="Times New Roman" w:hint="eastAsia"/>
        </w:rPr>
        <w:t>t</w:t>
      </w:r>
      <w:r w:rsidRPr="0006279F">
        <w:rPr>
          <w:rFonts w:eastAsia="Times New Roman"/>
        </w:rPr>
        <w:t xml:space="preserve"> material.</w:t>
      </w:r>
    </w:p>
    <w:p w:rsidR="00382031" w:rsidRPr="0006279F" w:rsidP="00382031" w14:paraId="664986EE" w14:textId="77777777">
      <w:pPr>
        <w:pStyle w:val="4"/>
        <w:numPr>
          <w:numId w:val="1"/>
        </w:numPr>
        <w:spacing w:after="240"/>
      </w:pPr>
      <w:r w:rsidRPr="0006279F">
        <w:rPr>
          <w:rFonts w:hint="eastAsia"/>
        </w:rPr>
        <w:t>用于微生物检验取样时，取样器具必须灭菌且处于灭菌有效期内。</w:t>
      </w:r>
      <w:r w:rsidRPr="0006279F">
        <w:rPr>
          <w:rFonts w:eastAsia="Times New Roman"/>
        </w:rPr>
        <w:br/>
        <w:t>When used for microbiological testing sampling, the sampling equipment must be sterilized and within the sterilization period.</w:t>
      </w:r>
    </w:p>
    <w:p w:rsidR="00382031" w:rsidRPr="0006279F" w:rsidP="00382031" w14:paraId="2DCA378C" w14:textId="77777777">
      <w:pPr>
        <w:pStyle w:val="4"/>
        <w:numPr>
          <w:numId w:val="1"/>
        </w:numPr>
        <w:spacing w:after="240"/>
      </w:pPr>
      <w:r w:rsidRPr="0006279F">
        <w:rPr>
          <w:rFonts w:hint="eastAsia"/>
        </w:rPr>
        <w:t>中间产品的取样器应专用，并标识产品名称。</w:t>
      </w:r>
      <w:r w:rsidRPr="0006279F">
        <w:rPr>
          <w:rFonts w:eastAsia="Times New Roman"/>
        </w:rPr>
        <w:br/>
        <w:t>The sampler for intermediate products should be dedicated and labeled with the product name.</w:t>
      </w:r>
    </w:p>
    <w:p w:rsidR="00382031" w:rsidRPr="0006279F" w:rsidP="00382031" w14:paraId="41C1BC98" w14:textId="36C60252">
      <w:pPr>
        <w:pStyle w:val="4"/>
        <w:numPr>
          <w:numId w:val="1"/>
        </w:numPr>
        <w:spacing w:after="240"/>
        <w:jc w:val="left"/>
      </w:pPr>
      <w:r w:rsidRPr="0006279F">
        <w:rPr>
          <w:rFonts w:hint="eastAsia"/>
        </w:rPr>
        <w:t>中间产品取样器具使用完后，应按照</w:t>
      </w:r>
      <w:r w:rsidRPr="0006279F">
        <w:rPr>
          <w:rFonts w:hint="eastAsia"/>
        </w:rPr>
        <w:t>SMP-PD-021</w:t>
      </w:r>
      <w:r w:rsidRPr="0006279F">
        <w:rPr>
          <w:rFonts w:hint="eastAsia"/>
        </w:rPr>
        <w:t>《</w:t>
      </w:r>
      <w:r w:rsidRPr="0006279F">
        <w:rPr>
          <w:rFonts w:hint="eastAsia"/>
        </w:rPr>
        <w:t>OSD</w:t>
      </w:r>
      <w:r w:rsidRPr="0006279F">
        <w:rPr>
          <w:rFonts w:hint="eastAsia"/>
        </w:rPr>
        <w:t>车间工器具管理》进行清洁，并在清洁、干燥的状态下保存，并在清洁有效期内使用。</w:t>
      </w:r>
      <w:r w:rsidRPr="0006279F">
        <w:rPr>
          <w:rFonts w:eastAsia="Times New Roman"/>
        </w:rPr>
        <w:br/>
        <w:t xml:space="preserve">After using the intermediate product sampling equipment, it should be cleaned according to SMP-PD-021 </w:t>
      </w:r>
      <w:r w:rsidRPr="0006279F">
        <w:rPr>
          <w:noProof/>
          <w:kern w:val="0"/>
        </w:rPr>
        <w:t>Tool Management of OSD Workshop</w:t>
      </w:r>
      <w:r w:rsidRPr="0006279F">
        <w:rPr>
          <w:rFonts w:eastAsia="Times New Roman"/>
        </w:rPr>
        <w:t>, stored in a clean and dry state, and used within the effective cleaning period.</w:t>
      </w:r>
    </w:p>
    <w:p w:rsidR="00382031" w:rsidRPr="0006279F" w:rsidP="00382031" w14:paraId="406CD8AD" w14:textId="77777777">
      <w:pPr>
        <w:pStyle w:val="4"/>
        <w:numPr>
          <w:numId w:val="1"/>
        </w:numPr>
        <w:spacing w:after="240"/>
      </w:pPr>
      <w:r w:rsidRPr="0006279F">
        <w:rPr>
          <w:rFonts w:hint="eastAsia"/>
        </w:rPr>
        <w:t>取样器具若有损坏，必须立即停止使用。</w:t>
      </w:r>
      <w:r w:rsidRPr="0006279F">
        <w:rPr>
          <w:rFonts w:eastAsia="Times New Roman"/>
        </w:rPr>
        <w:br/>
        <w:t>If the sampling equipment is damaged, it must be immediately stopped from use.</w:t>
      </w:r>
    </w:p>
    <w:p w:rsidR="00382031" w:rsidRPr="0006279F" w:rsidP="00382031" w14:paraId="2AC14D4D" w14:textId="77777777">
      <w:pPr>
        <w:pStyle w:val="4"/>
        <w:numPr>
          <w:numId w:val="1"/>
        </w:numPr>
        <w:spacing w:after="240"/>
      </w:pPr>
      <w:r w:rsidRPr="0006279F">
        <w:rPr>
          <w:rFonts w:hint="eastAsia"/>
        </w:rPr>
        <w:t>一般取样器具有粉末取样器、不锈钢勺、不锈钢铲等。</w:t>
      </w:r>
      <w:r w:rsidRPr="0006279F">
        <w:rPr>
          <w:rFonts w:eastAsia="Times New Roman"/>
        </w:rPr>
        <w:br/>
        <w:t>Typical samplers include powder samplers, stainless steel spoons, stainless steel shovels, etc.</w:t>
      </w:r>
    </w:p>
    <w:p w:rsidR="00382031" w:rsidRPr="0006279F" w:rsidP="00382031" w14:paraId="54BF3E64" w14:textId="77777777">
      <w:pPr>
        <w:pStyle w:val="3"/>
        <w:numPr>
          <w:numId w:val="1"/>
        </w:numPr>
        <w:tabs>
          <w:tab w:val="left" w:pos="1701"/>
        </w:tabs>
        <w:spacing w:after="240"/>
      </w:pPr>
      <w:r w:rsidRPr="0006279F">
        <w:rPr>
          <w:rFonts w:hint="eastAsia"/>
        </w:rPr>
        <w:t>粉末取样器</w:t>
      </w:r>
      <w:r w:rsidRPr="0006279F">
        <w:rPr>
          <w:rFonts w:eastAsia="Times New Roman"/>
        </w:rPr>
        <w:br/>
        <w:t>Powder Sampler</w:t>
      </w:r>
    </w:p>
    <w:p w:rsidR="00382031" w:rsidRPr="0006279F" w:rsidP="00382031" w14:paraId="47C95DBE" w14:textId="77777777">
      <w:pPr>
        <w:pStyle w:val="4"/>
        <w:numPr>
          <w:numId w:val="1"/>
        </w:numPr>
        <w:spacing w:after="240"/>
        <w:jc w:val="left"/>
      </w:pPr>
      <w:r w:rsidRPr="0006279F">
        <w:rPr>
          <w:rFonts w:hint="eastAsia"/>
        </w:rPr>
        <w:t>定量取样</w:t>
      </w:r>
      <w:r w:rsidRPr="0006279F">
        <w:rPr>
          <w:rFonts w:hint="eastAsia"/>
        </w:rPr>
        <w:t>钎</w:t>
      </w:r>
      <w:r w:rsidRPr="0006279F">
        <w:rPr>
          <w:rFonts w:hint="eastAsia"/>
        </w:rPr>
        <w:t>一般用于固体粉末类、颗粒类的取样。</w:t>
      </w:r>
      <w:r w:rsidRPr="0006279F">
        <w:rPr>
          <w:rFonts w:eastAsia="Times New Roman"/>
        </w:rPr>
        <w:br/>
        <w:t>Quantitative sampling drills are generally used for sampling solid powders and particles.</w:t>
      </w:r>
    </w:p>
    <w:p w:rsidR="00382031" w:rsidRPr="0006279F" w:rsidP="00382031" w14:paraId="131E0C95" w14:textId="77777777">
      <w:pPr>
        <w:pStyle w:val="4"/>
        <w:numPr>
          <w:numId w:val="1"/>
        </w:numPr>
        <w:spacing w:after="240"/>
      </w:pPr>
      <w:r w:rsidRPr="0006279F">
        <w:rPr>
          <w:rFonts w:hint="eastAsia"/>
        </w:rPr>
        <w:t>使用方法：将弹簧装入驱动杆中，再将驱动杆装入套管中，安装取样头，使取样口封闭，将取样器插入需要取样的物料中，达到要求的深度后，向上拉取样器的外部管套，物料将充填在取样头周围的空隙处，再将取样器外套管向下推，使取样头退回到取样器中，样品被隔离在取样器中，将取样器从物料中抽出，将样品放出至</w:t>
      </w:r>
      <w:r w:rsidRPr="0006279F">
        <w:rPr>
          <w:rFonts w:hint="eastAsia"/>
        </w:rPr>
        <w:t>QC</w:t>
      </w:r>
      <w:r w:rsidRPr="0006279F">
        <w:rPr>
          <w:rFonts w:hint="eastAsia"/>
        </w:rPr>
        <w:t>已称量皮重的样品容器中（若样品容器口径较小不便于收集样品，可以将取出的样品放至称量纸上再转移至容器中）。</w:t>
      </w:r>
      <w:r w:rsidRPr="0006279F">
        <w:rPr>
          <w:rFonts w:eastAsia="Times New Roman"/>
        </w:rPr>
        <w:br/>
        <w:t xml:space="preserve">Usage: Install the spring into the drive rod, then insert the drive rod </w:t>
      </w:r>
      <w:r w:rsidRPr="0006279F">
        <w:rPr>
          <w:rFonts w:eastAsia="Times New Roman"/>
        </w:rPr>
        <w:t>into the sleeve, install the sampling head, close the sampling port, insert the sampler into the material to be sampled, reach the required depth, pull up the outer sleeve of the sampler, and the material will fill the gap around the sampling head. Then push down the outer sleeve of the sampler to retract the sampling head into the sampler, and isolate the sample in the sampler. Pull out the sampler from the material and release the sample into the container whose tare weight has been weighed (if the diameter of the sample container is small and not convenient for collecting samples, the extracted sample can be placed on weighing paper and transferred to the container).</w:t>
      </w:r>
    </w:p>
    <w:p w:rsidR="00382031" w:rsidRPr="0006279F" w:rsidP="00382031" w14:paraId="4DD134B3" w14:textId="3AF567AD">
      <w:pPr>
        <w:pStyle w:val="3"/>
        <w:numPr>
          <w:numId w:val="1"/>
        </w:numPr>
        <w:tabs>
          <w:tab w:val="left" w:pos="1701"/>
        </w:tabs>
        <w:spacing w:after="240"/>
      </w:pPr>
      <w:r w:rsidRPr="0006279F">
        <w:rPr>
          <w:rFonts w:hint="eastAsia"/>
        </w:rPr>
        <w:t>取样勺</w:t>
      </w:r>
      <w:r w:rsidRPr="0006279F">
        <w:rPr>
          <w:rFonts w:hint="eastAsia"/>
        </w:rPr>
        <w:t>/</w:t>
      </w:r>
      <w:r w:rsidRPr="0006279F">
        <w:rPr>
          <w:rFonts w:hint="eastAsia"/>
        </w:rPr>
        <w:t>铲</w:t>
      </w:r>
      <w:r w:rsidRPr="0006279F">
        <w:br/>
        <w:t>Sampling spoon/shovel</w:t>
      </w:r>
      <w:r w:rsidRPr="0006279F">
        <w:br/>
      </w:r>
      <w:r w:rsidRPr="0006279F">
        <w:rPr>
          <w:rFonts w:hint="eastAsia"/>
        </w:rPr>
        <w:t>用途：一些固体制剂产品生产过程中颗粒的取样，如：物料在烘箱中需要每盘取样时。</w:t>
      </w:r>
      <w:r w:rsidRPr="0006279F">
        <w:br/>
        <w:t>Usage: Sampling of particles during the production process of some solid dosage forms, such as when materials need to be sampled from each tray in an oven.</w:t>
      </w:r>
    </w:p>
    <w:p w:rsidR="00382031" w:rsidRPr="0006279F" w:rsidP="00382031" w14:paraId="6DDF858D" w14:textId="77777777">
      <w:pPr>
        <w:pStyle w:val="3"/>
        <w:numPr>
          <w:numId w:val="1"/>
        </w:numPr>
        <w:tabs>
          <w:tab w:val="left" w:pos="1701"/>
        </w:tabs>
        <w:spacing w:after="240"/>
      </w:pPr>
      <w:r w:rsidRPr="0006279F">
        <w:rPr>
          <w:rFonts w:hint="eastAsia"/>
        </w:rPr>
        <w:t>样品容器</w:t>
      </w:r>
      <w:r w:rsidRPr="0006279F">
        <w:rPr>
          <w:rFonts w:eastAsia="Times New Roman"/>
        </w:rPr>
        <w:br/>
        <w:t>Sample container</w:t>
      </w:r>
    </w:p>
    <w:p w:rsidR="00382031" w:rsidRPr="0006279F" w:rsidP="00382031" w14:paraId="331370DA" w14:textId="31585A68">
      <w:pPr>
        <w:pStyle w:val="4"/>
        <w:numPr>
          <w:numId w:val="1"/>
        </w:numPr>
        <w:spacing w:after="240"/>
        <w:jc w:val="left"/>
      </w:pPr>
      <w:r w:rsidRPr="0006279F">
        <w:rPr>
          <w:rFonts w:hint="eastAsia"/>
        </w:rPr>
        <w:t>样品容器应能够防止受到环境、微生物、热原等污染，容器应避免与样品发生反应、吸附或引起污染，并根据样品的储存要求，能满足避光、隔绝空气与水</w:t>
      </w:r>
      <w:r w:rsidR="004C389F">
        <w:rPr>
          <w:rFonts w:hint="eastAsia"/>
        </w:rPr>
        <w:t>分</w:t>
      </w:r>
      <w:r w:rsidRPr="0006279F">
        <w:rPr>
          <w:rFonts w:hint="eastAsia"/>
        </w:rPr>
        <w:t>，防止样品出现降解、潮解、吸湿、挥发等情况。</w:t>
      </w:r>
      <w:r w:rsidRPr="0006279F">
        <w:rPr>
          <w:rFonts w:eastAsia="Times New Roman"/>
        </w:rPr>
        <w:br/>
        <w:t>The sample container should be able to prevent contamination from the environment, microorganisms, pyrogens, etc. The container should avoid reacting, adsorbing, or causing contamination with the sample, and according to the storage requirements of the sample, it should meet the requirements of avoiding light, isolating air and moisture, and preventing degradation, deliquescence, moisture absorption, volatilization, of the sample.</w:t>
      </w:r>
    </w:p>
    <w:p w:rsidR="00382031" w:rsidRPr="0006279F" w:rsidP="00382031" w14:paraId="0BDD3424" w14:textId="77777777">
      <w:pPr>
        <w:pStyle w:val="4"/>
        <w:numPr>
          <w:numId w:val="1"/>
        </w:numPr>
        <w:spacing w:after="240"/>
      </w:pPr>
      <w:r w:rsidRPr="0006279F">
        <w:rPr>
          <w:rFonts w:hint="eastAsia"/>
        </w:rPr>
        <w:t>现使用的样品容器有</w:t>
      </w:r>
      <w:r w:rsidRPr="0006279F">
        <w:rPr>
          <w:rFonts w:hint="eastAsia"/>
        </w:rPr>
        <w:t>PE</w:t>
      </w:r>
      <w:r w:rsidRPr="0006279F">
        <w:rPr>
          <w:rFonts w:hint="eastAsia"/>
        </w:rPr>
        <w:t>袋、</w:t>
      </w:r>
      <w:r w:rsidRPr="0006279F">
        <w:rPr>
          <w:rFonts w:hint="eastAsia"/>
        </w:rPr>
        <w:t>蓝盖瓶</w:t>
      </w:r>
      <w:r w:rsidRPr="0006279F">
        <w:rPr>
          <w:rFonts w:hint="eastAsia"/>
        </w:rPr>
        <w:t>、具塞玻璃瓶、称量瓶等。</w:t>
      </w:r>
      <w:r w:rsidRPr="0006279F">
        <w:rPr>
          <w:rFonts w:eastAsia="Times New Roman"/>
        </w:rPr>
        <w:br/>
        <w:t>The currently used sample containers include PE bags, blue capped bottles, stoppered glass bottles, weighing bottles, etc.</w:t>
      </w:r>
    </w:p>
    <w:p w:rsidR="00382031" w:rsidRPr="0006279F" w:rsidP="00382031" w14:paraId="4025ED7E" w14:textId="77777777">
      <w:pPr>
        <w:pStyle w:val="4"/>
        <w:numPr>
          <w:numId w:val="1"/>
        </w:numPr>
        <w:spacing w:after="240"/>
      </w:pPr>
      <w:r w:rsidRPr="0006279F">
        <w:rPr>
          <w:rFonts w:hint="eastAsia"/>
        </w:rPr>
        <w:t>特殊品种可根据工艺要求准备样品容器。</w:t>
      </w:r>
      <w:r w:rsidRPr="0006279F">
        <w:rPr>
          <w:rFonts w:eastAsia="Times New Roman"/>
        </w:rPr>
        <w:br/>
        <w:t>Special varieties can have sample containers prepared according to process requirements.</w:t>
      </w:r>
    </w:p>
    <w:p w:rsidR="00382031" w:rsidRPr="0006279F" w:rsidP="00382031" w14:paraId="0A14DF42" w14:textId="77777777">
      <w:pPr>
        <w:pStyle w:val="20"/>
        <w:numPr>
          <w:numId w:val="1"/>
        </w:numPr>
        <w:tabs>
          <w:tab w:val="left" w:pos="992"/>
        </w:tabs>
        <w:spacing w:after="240"/>
      </w:pPr>
      <w:r w:rsidRPr="0006279F">
        <w:rPr>
          <w:rFonts w:hint="eastAsia"/>
        </w:rPr>
        <w:t>取样量</w:t>
      </w:r>
      <w:r w:rsidRPr="0006279F">
        <w:rPr>
          <w:rFonts w:eastAsia="Times New Roman"/>
        </w:rPr>
        <w:br/>
        <w:t>Sampling Amount</w:t>
      </w:r>
    </w:p>
    <w:p w:rsidR="00382031" w:rsidRPr="0006279F" w:rsidP="00382031" w14:paraId="5DC58A57" w14:textId="77777777">
      <w:pPr>
        <w:pStyle w:val="3"/>
        <w:numPr>
          <w:numId w:val="1"/>
        </w:numPr>
        <w:tabs>
          <w:tab w:val="left" w:pos="1701"/>
        </w:tabs>
        <w:spacing w:after="240"/>
      </w:pPr>
      <w:r w:rsidRPr="0006279F">
        <w:rPr>
          <w:rFonts w:hint="eastAsia"/>
        </w:rPr>
        <w:t>取样量应按对应的质量标准、工艺规程、批记录或方案中规定的量执行。</w:t>
      </w:r>
      <w:r w:rsidRPr="0006279F">
        <w:rPr>
          <w:rFonts w:eastAsia="Times New Roman"/>
        </w:rPr>
        <w:br/>
        <w:t>The sampling amount should be executed according to the corresponding quality standards, process specifications, batch records, or the amount specified in the plan.</w:t>
      </w:r>
    </w:p>
    <w:p w:rsidR="00382031" w:rsidRPr="0006279F" w:rsidP="00382031" w14:paraId="7E59219D" w14:textId="77777777">
      <w:pPr>
        <w:pStyle w:val="3"/>
        <w:numPr>
          <w:numId w:val="1"/>
        </w:numPr>
        <w:tabs>
          <w:tab w:val="left" w:pos="1701"/>
        </w:tabs>
        <w:spacing w:after="240"/>
      </w:pPr>
      <w:r w:rsidRPr="0006279F">
        <w:rPr>
          <w:rFonts w:hint="eastAsia"/>
        </w:rPr>
        <w:t>根据</w:t>
      </w:r>
      <w:r w:rsidRPr="0006279F">
        <w:rPr>
          <w:rFonts w:hint="eastAsia"/>
        </w:rPr>
        <w:t>CDE</w:t>
      </w:r>
      <w:r w:rsidRPr="0006279F">
        <w:rPr>
          <w:rFonts w:hint="eastAsia"/>
        </w:rPr>
        <w:t>和</w:t>
      </w:r>
      <w:r w:rsidRPr="0006279F">
        <w:rPr>
          <w:rFonts w:hint="eastAsia"/>
        </w:rPr>
        <w:t>ISPE</w:t>
      </w:r>
      <w:r w:rsidRPr="0006279F">
        <w:rPr>
          <w:rFonts w:hint="eastAsia"/>
        </w:rPr>
        <w:t>指导原则：口服固体制剂混合均匀性取样，在混合设备和</w:t>
      </w:r>
      <w:r w:rsidRPr="0006279F">
        <w:rPr>
          <w:rFonts w:hint="eastAsia"/>
        </w:rPr>
        <w:t>/</w:t>
      </w:r>
      <w:r w:rsidRPr="0006279F">
        <w:rPr>
          <w:rFonts w:hint="eastAsia"/>
        </w:rPr>
        <w:t>或中间体物料容器中至少选取</w:t>
      </w:r>
      <w:r w:rsidRPr="0006279F">
        <w:rPr>
          <w:rFonts w:hint="eastAsia"/>
        </w:rPr>
        <w:t xml:space="preserve"> 10 </w:t>
      </w:r>
      <w:r w:rsidRPr="0006279F">
        <w:rPr>
          <w:rFonts w:hint="eastAsia"/>
        </w:rPr>
        <w:t>个</w:t>
      </w:r>
      <w:r w:rsidRPr="0006279F">
        <w:rPr>
          <w:rFonts w:hint="eastAsia"/>
        </w:rPr>
        <w:t>取样点，每个取样点至少取</w:t>
      </w:r>
      <w:r w:rsidRPr="0006279F">
        <w:rPr>
          <w:rFonts w:hint="eastAsia"/>
        </w:rPr>
        <w:t xml:space="preserve"> 3 </w:t>
      </w:r>
      <w:r w:rsidRPr="0006279F">
        <w:rPr>
          <w:rFonts w:hint="eastAsia"/>
        </w:rPr>
        <w:t>份样品。单份样品取样量通常应在</w:t>
      </w:r>
      <w:r w:rsidRPr="0006279F">
        <w:rPr>
          <w:rFonts w:hint="eastAsia"/>
        </w:rPr>
        <w:t xml:space="preserve"> 1-3 </w:t>
      </w:r>
      <w:r w:rsidRPr="0006279F">
        <w:rPr>
          <w:rFonts w:hint="eastAsia"/>
        </w:rPr>
        <w:t>倍</w:t>
      </w:r>
      <w:r w:rsidRPr="0006279F">
        <w:rPr>
          <w:rFonts w:hint="eastAsia"/>
        </w:rPr>
        <w:t>单位剂量范围内，样品应全</w:t>
      </w:r>
      <w:r w:rsidRPr="0006279F">
        <w:rPr>
          <w:rFonts w:hint="eastAsia"/>
        </w:rPr>
        <w:t>量用于</w:t>
      </w:r>
      <w:r w:rsidRPr="0006279F">
        <w:rPr>
          <w:rFonts w:hint="eastAsia"/>
        </w:rPr>
        <w:t>混合均匀度检测，应避免出现二次取样情况。（</w:t>
      </w:r>
      <w:r w:rsidRPr="0006279F">
        <w:rPr>
          <w:rFonts w:hAnsi="宋体" w:hint="eastAsia"/>
        </w:rPr>
        <w:t>取样头的选择：可根据公式“取样体积</w:t>
      </w:r>
      <w:r w:rsidRPr="0006279F">
        <w:rPr>
          <w:rFonts w:hAnsi="宋体" w:hint="eastAsia"/>
        </w:rPr>
        <w:t>(ml)=</w:t>
      </w:r>
      <w:r w:rsidRPr="0006279F">
        <w:rPr>
          <w:rFonts w:hAnsi="宋体" w:hint="eastAsia"/>
        </w:rPr>
        <w:t>取样量（</w:t>
      </w:r>
      <w:r w:rsidRPr="0006279F">
        <w:rPr>
          <w:rFonts w:hAnsi="宋体" w:hint="eastAsia"/>
        </w:rPr>
        <w:t>g</w:t>
      </w:r>
      <w:r w:rsidRPr="0006279F">
        <w:rPr>
          <w:rFonts w:hAnsi="宋体" w:hint="eastAsia"/>
        </w:rPr>
        <w:t>）</w:t>
      </w:r>
      <w:r w:rsidRPr="0006279F">
        <w:rPr>
          <w:rFonts w:hAnsi="宋体" w:hint="eastAsia"/>
        </w:rPr>
        <w:t>/</w:t>
      </w:r>
      <w:r w:rsidRPr="0006279F">
        <w:rPr>
          <w:rFonts w:hAnsi="宋体" w:hint="eastAsia"/>
        </w:rPr>
        <w:t>颗粒堆密度</w:t>
      </w:r>
      <w:r w:rsidRPr="0006279F">
        <w:rPr>
          <w:rFonts w:hAnsi="宋体" w:hint="eastAsia"/>
        </w:rPr>
        <w:t>(g/ml)</w:t>
      </w:r>
      <w:r w:rsidRPr="0006279F">
        <w:rPr>
          <w:rFonts w:hAnsi="宋体" w:hint="eastAsia"/>
        </w:rPr>
        <w:t>”计算得出理论取样体积，再根据理论取样体积选择合适的取样</w:t>
      </w:r>
      <w:r w:rsidRPr="0006279F">
        <w:rPr>
          <w:rFonts w:hAnsi="宋体" w:hint="eastAsia"/>
        </w:rPr>
        <w:t>头用于</w:t>
      </w:r>
      <w:r w:rsidRPr="0006279F">
        <w:rPr>
          <w:rFonts w:hAnsi="宋体" w:hint="eastAsia"/>
        </w:rPr>
        <w:t>取样操作。各产品的堆密度可从研发部门或研究批、工艺验证等批次收集的数据中获取</w:t>
      </w:r>
      <w:r w:rsidRPr="0006279F">
        <w:rPr>
          <w:rFonts w:hint="eastAsia"/>
        </w:rPr>
        <w:t>）。</w:t>
      </w:r>
      <w:r w:rsidRPr="0006279F">
        <w:rPr>
          <w:rFonts w:eastAsia="Times New Roman"/>
        </w:rPr>
        <w:br/>
        <w:t>According to the guidelines of CDE and ISPE, for uniformity sampling of oral solid dosage forms, at least 10 sampling points should be selected in the mixing equipment and/or intermediate material container, with at least 3 samples taken from each sampling point. The sampling amount of a single sample should usually be within the range of 1-3 times the unit dose. The entire sample should be used for testing the uniformity of the mixture, and secondary sampling should be avoided. (Selection of sampling head: The theoretical sampling volume can be calculated based on the formula "Sampling volume (ml)=Sampling volume (g)/Particle bulk density (g/ml)", and then the appropriate sampling head can be selected for sampling operation according to the theoretical sampling volume.). The bulk density of each product can be obtained from data collected by the R&amp;D department or research batches, process validation batches, etc.</w:t>
      </w:r>
    </w:p>
    <w:p w:rsidR="00382031" w:rsidRPr="0006279F" w:rsidP="00382031" w14:paraId="0438846D" w14:textId="76F26D90">
      <w:pPr>
        <w:pStyle w:val="20"/>
        <w:numPr>
          <w:numId w:val="1"/>
        </w:numPr>
        <w:tabs>
          <w:tab w:val="left" w:pos="992"/>
        </w:tabs>
        <w:spacing w:after="240"/>
      </w:pPr>
      <w:r w:rsidRPr="0006279F">
        <w:rPr>
          <w:rFonts w:hint="eastAsia"/>
        </w:rPr>
        <w:t>请验</w:t>
      </w:r>
      <w:r w:rsidRPr="0006279F">
        <w:br/>
        <w:t>Test Request</w:t>
      </w:r>
      <w:r w:rsidRPr="0006279F">
        <w:br/>
      </w:r>
      <w:r w:rsidRPr="0006279F">
        <w:rPr>
          <w:rFonts w:hint="eastAsia"/>
        </w:rPr>
        <w:t>由车间人员填写</w:t>
      </w:r>
      <w:r w:rsidRPr="0006279F">
        <w:rPr>
          <w:rFonts w:hint="eastAsia"/>
        </w:rPr>
        <w:t>SMP-QC-003/R01</w:t>
      </w:r>
      <w:r w:rsidRPr="0006279F">
        <w:rPr>
          <w:rFonts w:hint="eastAsia"/>
        </w:rPr>
        <w:t>《请验单》第一部分交至现场</w:t>
      </w:r>
      <w:r w:rsidRPr="0006279F">
        <w:rPr>
          <w:rFonts w:hint="eastAsia"/>
        </w:rPr>
        <w:t>QA</w:t>
      </w:r>
      <w:r w:rsidRPr="0006279F">
        <w:rPr>
          <w:rFonts w:hint="eastAsia"/>
        </w:rPr>
        <w:t>。成品</w:t>
      </w:r>
      <w:r w:rsidRPr="0006279F">
        <w:rPr>
          <w:rFonts w:hint="eastAsia"/>
        </w:rPr>
        <w:t>请验时</w:t>
      </w:r>
      <w:r w:rsidRPr="0006279F">
        <w:rPr>
          <w:rFonts w:hint="eastAsia"/>
        </w:rPr>
        <w:t>，请验单中的“数量</w:t>
      </w:r>
      <w:r w:rsidRPr="0006279F">
        <w:rPr>
          <w:rFonts w:hint="eastAsia"/>
        </w:rPr>
        <w:t>/</w:t>
      </w:r>
      <w:r w:rsidRPr="0006279F">
        <w:rPr>
          <w:rFonts w:hint="eastAsia"/>
        </w:rPr>
        <w:t>容器数”若未明确，可填写</w:t>
      </w:r>
      <w:r w:rsidRPr="0006279F">
        <w:rPr>
          <w:rFonts w:hint="eastAsia"/>
        </w:rPr>
        <w:t>N/A</w:t>
      </w:r>
      <w:r w:rsidRPr="0006279F">
        <w:rPr>
          <w:rFonts w:hint="eastAsia"/>
        </w:rPr>
        <w:t>，</w:t>
      </w:r>
      <w:r w:rsidRPr="0006279F">
        <w:rPr>
          <w:rFonts w:hint="eastAsia"/>
        </w:rPr>
        <w:t>待数量</w:t>
      </w:r>
      <w:r w:rsidRPr="0006279F">
        <w:rPr>
          <w:rFonts w:hint="eastAsia"/>
        </w:rPr>
        <w:t>确定后，车间人员需在《请验单》上备注“数量</w:t>
      </w:r>
      <w:r w:rsidRPr="0006279F">
        <w:rPr>
          <w:rFonts w:hint="eastAsia"/>
        </w:rPr>
        <w:t>/</w:t>
      </w:r>
      <w:r w:rsidRPr="0006279F">
        <w:rPr>
          <w:rFonts w:hint="eastAsia"/>
        </w:rPr>
        <w:t>容器数”并签名和日期。</w:t>
      </w:r>
      <w:r w:rsidRPr="0006279F">
        <w:rPr>
          <w:rFonts w:eastAsia="Times New Roman"/>
        </w:rPr>
        <w:br/>
        <w:t>The workshop personnel shall fill out the first part of SMP-QC-003/R01 Test Request Form and submit it to the QA on-site. When requesting inspection of finished products, if the "quantity/number of containers" in the inspection form is not clear, N/A can be filled in. After the quantity is confirmed, workshop personnel need to annotate "quantity/number of containers" on the "Test Request Form" and sign and date it.</w:t>
      </w:r>
    </w:p>
    <w:p w:rsidR="00382031" w:rsidRPr="0006279F" w:rsidP="00382031" w14:paraId="483BC54B" w14:textId="2120A67C">
      <w:pPr>
        <w:pStyle w:val="20"/>
        <w:numPr>
          <w:numId w:val="1"/>
        </w:numPr>
        <w:tabs>
          <w:tab w:val="left" w:pos="992"/>
        </w:tabs>
        <w:spacing w:after="240"/>
      </w:pPr>
      <w:r w:rsidRPr="0006279F">
        <w:rPr>
          <w:rFonts w:hint="eastAsia"/>
        </w:rPr>
        <w:t>取样前检查</w:t>
      </w:r>
      <w:r w:rsidRPr="0006279F">
        <w:br/>
      </w:r>
      <w:r w:rsidRPr="0006279F">
        <w:rPr>
          <w:rFonts w:eastAsia="Times New Roman"/>
        </w:rPr>
        <w:t>Pre-sampling inspection</w:t>
      </w:r>
      <w:r w:rsidRPr="0006279F">
        <w:br/>
      </w:r>
      <w:r w:rsidRPr="0006279F">
        <w:rPr>
          <w:rFonts w:hint="eastAsia"/>
        </w:rPr>
        <w:t>必要时查阅质量标准、验证取样计划了解被取样品的性质和注意事项，准备相应的取样工具、样品容器和样品标签，若涉及取样称量操作，需提前做好衡器预热和校准工作。核对请验单上的信息是否与待取样中间产品和产品一致，确保无误后开始取样。</w:t>
      </w:r>
      <w:r w:rsidRPr="0006279F">
        <w:rPr>
          <w:rFonts w:eastAsia="Times New Roman"/>
        </w:rPr>
        <w:br/>
        <w:t>When necessary, consult the quality standards, verify the sampling plan to understand the nature and precautions of the sample being taken, prepare the corresponding sampling tools, sample containers, and sample labels. If sampling and weighing operations are involved, preheating and calibration of the weighing apparatus should be done in advance. Check whether the information on the inspection form is consistent with the intermediate products and products to be sampled, and start sampling after ensuring that there are no errors.</w:t>
      </w:r>
    </w:p>
    <w:p w:rsidR="00382031" w:rsidRPr="0006279F" w:rsidP="00382031" w14:paraId="380C9CC6" w14:textId="77777777">
      <w:pPr>
        <w:pStyle w:val="20"/>
        <w:numPr>
          <w:numId w:val="1"/>
        </w:numPr>
        <w:tabs>
          <w:tab w:val="left" w:pos="992"/>
        </w:tabs>
        <w:spacing w:after="240"/>
      </w:pPr>
      <w:r w:rsidRPr="0006279F">
        <w:rPr>
          <w:rFonts w:hint="eastAsia"/>
        </w:rPr>
        <w:t>中间产品的取样</w:t>
      </w:r>
      <w:r w:rsidRPr="0006279F">
        <w:rPr>
          <w:rFonts w:eastAsia="Times New Roman"/>
        </w:rPr>
        <w:br/>
        <w:t>Sampling of intermediate products</w:t>
      </w:r>
    </w:p>
    <w:p w:rsidR="00382031" w:rsidRPr="0006279F" w:rsidP="00382031" w14:paraId="56E71931" w14:textId="77777777">
      <w:pPr>
        <w:pStyle w:val="3"/>
        <w:numPr>
          <w:numId w:val="1"/>
        </w:numPr>
        <w:tabs>
          <w:tab w:val="left" w:pos="1701"/>
        </w:tabs>
        <w:spacing w:after="240"/>
      </w:pPr>
      <w:r w:rsidRPr="0006279F">
        <w:rPr>
          <w:rFonts w:hint="eastAsia"/>
        </w:rPr>
        <w:t>固体制剂中间产品的取样</w:t>
      </w:r>
      <w:r w:rsidRPr="0006279F">
        <w:rPr>
          <w:rFonts w:eastAsia="Times New Roman"/>
        </w:rPr>
        <w:br/>
        <w:t>Sampling of intermediate products in solid dosage</w:t>
      </w:r>
    </w:p>
    <w:p w:rsidR="00382031" w:rsidRPr="0006279F" w:rsidP="00382031" w14:paraId="7ABE4EA7" w14:textId="77777777">
      <w:pPr>
        <w:pStyle w:val="4"/>
        <w:numPr>
          <w:numId w:val="1"/>
        </w:numPr>
        <w:spacing w:after="240"/>
        <w:rPr>
          <w:lang w:val="en-GB"/>
        </w:rPr>
      </w:pPr>
      <w:r w:rsidRPr="0006279F">
        <w:rPr>
          <w:rFonts w:hint="eastAsia"/>
          <w:lang w:val="en-GB"/>
        </w:rPr>
        <w:t>原辅料预处理后粒径样品的取样</w:t>
      </w:r>
      <w:r w:rsidRPr="0006279F">
        <w:rPr>
          <w:rFonts w:eastAsia="Times New Roman"/>
        </w:rPr>
        <w:br/>
        <w:t>Sampling of particle size samples after pre-treatment of raw materials</w:t>
      </w:r>
    </w:p>
    <w:p w:rsidR="00382031" w:rsidRPr="0006279F" w14:paraId="71DC6569" w14:textId="342075B9">
      <w:pPr>
        <w:pStyle w:val="3"/>
        <w:numPr>
          <w:ilvl w:val="0"/>
          <w:numId w:val="2"/>
        </w:numPr>
        <w:spacing w:after="240"/>
        <w:ind w:left="2410" w:hanging="414"/>
        <w:rPr>
          <w:lang w:val="en-GB"/>
        </w:rPr>
      </w:pPr>
      <w:r w:rsidRPr="0006279F">
        <w:rPr>
          <w:rFonts w:hint="eastAsia"/>
          <w:lang w:val="en-GB"/>
        </w:rPr>
        <w:t>原辅料预处理后物料应按照工艺规程或者方案存放在相应的包装容器中，若容器取件数总件数为</w:t>
      </w:r>
      <w:r w:rsidRPr="0006279F">
        <w:rPr>
          <w:lang w:val="en-GB"/>
        </w:rPr>
        <w:t>n</w:t>
      </w:r>
      <w:r w:rsidRPr="0006279F">
        <w:rPr>
          <w:lang w:val="en-GB"/>
        </w:rPr>
        <w:t>，</w:t>
      </w:r>
      <w:r w:rsidRPr="0006279F">
        <w:rPr>
          <w:lang w:val="en-GB"/>
        </w:rPr>
        <w:t>n≤</w:t>
      </w:r>
      <w:r w:rsidRPr="0006279F">
        <w:rPr>
          <w:rFonts w:hint="eastAsia"/>
          <w:lang w:val="en-GB"/>
        </w:rPr>
        <w:t>3</w:t>
      </w:r>
      <w:r w:rsidRPr="0006279F">
        <w:rPr>
          <w:rFonts w:hint="eastAsia"/>
          <w:lang w:val="en-GB"/>
        </w:rPr>
        <w:t>时，每件取样；</w:t>
      </w:r>
      <w:r w:rsidRPr="0006279F">
        <w:rPr>
          <w:rFonts w:hint="eastAsia"/>
          <w:lang w:val="en-GB"/>
        </w:rPr>
        <w:t>n</w:t>
      </w:r>
      <w:r w:rsidRPr="0006279F">
        <w:rPr>
          <w:rFonts w:hint="eastAsia"/>
          <w:lang w:val="en-GB"/>
        </w:rPr>
        <w:t>＞</w:t>
      </w:r>
      <w:r w:rsidRPr="0006279F">
        <w:rPr>
          <w:rFonts w:hint="eastAsia"/>
          <w:lang w:val="en-GB"/>
        </w:rPr>
        <w:t>3</w:t>
      </w:r>
      <w:r w:rsidRPr="0006279F">
        <w:rPr>
          <w:rFonts w:hint="eastAsia"/>
          <w:lang w:val="en-GB"/>
        </w:rPr>
        <w:t>时，</w:t>
      </w:r>
      <w:r w:rsidRPr="0006279F">
        <w:rPr>
          <w:lang w:val="en-GB"/>
        </w:rPr>
        <w:t>取样件数为</w:t>
      </w:r>
      <w:r>
        <w:rPr>
          <w:lang w:val="en-GB"/>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25pt" o:ole="">
            <v:imagedata r:id="rId12" o:title=""/>
          </v:shape>
          <o:OLEObject Type="Embed" ProgID="Equation.3" ShapeID="_x0000_i1025" DrawAspect="Content" ObjectID="_1794152292" r:id="rId13"/>
        </w:object>
      </w:r>
      <w:r w:rsidRPr="0006279F">
        <w:rPr>
          <w:rFonts w:hint="eastAsia"/>
          <w:lang w:val="en-GB"/>
        </w:rPr>
        <w:t>。若计算出得样品数不是整数，则采用进一法修约成整数。</w:t>
      </w:r>
      <w:r w:rsidRPr="0006279F">
        <w:rPr>
          <w:rFonts w:eastAsia="Times New Roman"/>
        </w:rPr>
        <w:br/>
        <w:t>Raw materials and excipients after pre-treatment, they should be stored in corresponding packaging containers according to the process specifications or protocols. If the total number of containers taken is n, and n ≤ 3, samples should be taken from each container; When n&gt;3, the number of samples taken is</w:t>
      </w:r>
      <w:r w:rsidRPr="0006279F" w:rsidR="00890CD0">
        <w:rPr>
          <w:rFonts w:eastAsia="Times New Roman"/>
        </w:rPr>
        <w:t xml:space="preserve"> </w:t>
      </w:r>
      <w:r>
        <w:rPr>
          <w:lang w:val="en-GB"/>
        </w:rPr>
        <w:object>
          <v:shape id="_x0000_i1026" type="#_x0000_t75" style="width:26.25pt;height:14.25pt" o:ole="">
            <v:imagedata r:id="rId12" o:title=""/>
          </v:shape>
          <o:OLEObject Type="Embed" ProgID="Equation.3" ShapeID="_x0000_i1026" DrawAspect="Content" ObjectID="_1794152293" r:id="rId14"/>
        </w:object>
      </w:r>
      <w:r w:rsidRPr="0006279F">
        <w:rPr>
          <w:rFonts w:eastAsia="Times New Roman"/>
        </w:rPr>
        <w:t>. If the calculated number of samples is not an integer, use the method of rounding to an integer.</w:t>
      </w:r>
    </w:p>
    <w:p w:rsidR="00382031" w:rsidRPr="0006279F" w14:paraId="2F2B5A04" w14:textId="77777777">
      <w:pPr>
        <w:pStyle w:val="3"/>
        <w:numPr>
          <w:ilvl w:val="0"/>
          <w:numId w:val="2"/>
        </w:numPr>
        <w:spacing w:after="240"/>
        <w:ind w:left="2410" w:hanging="414"/>
        <w:rPr>
          <w:lang w:val="en-GB"/>
        </w:rPr>
      </w:pPr>
      <w:r w:rsidRPr="0006279F">
        <w:rPr>
          <w:rFonts w:hint="eastAsia"/>
          <w:lang w:val="en-GB"/>
        </w:rPr>
        <w:t>原辅料预处理后的粒径取样，考虑原料或辅料是单一物料，用取样器在包装容器上、中、下三层取样，在取样容器中将其摇匀。</w:t>
      </w:r>
      <w:r w:rsidRPr="0006279F">
        <w:rPr>
          <w:rFonts w:eastAsia="Times New Roman"/>
        </w:rPr>
        <w:br/>
        <w:t>Sampling of particle size after pre-treatment of raw material and excipients, considering that the raw material and excipients are single materials, use a sampler to take samples from the top, middle, and bottom layers of the packaging container, and shake them evenly in the sampling container.</w:t>
      </w:r>
    </w:p>
    <w:p w:rsidR="00382031" w:rsidRPr="0006279F" w14:paraId="2D292272" w14:textId="77777777">
      <w:pPr>
        <w:pStyle w:val="3"/>
        <w:numPr>
          <w:ilvl w:val="0"/>
          <w:numId w:val="2"/>
        </w:numPr>
        <w:spacing w:after="240"/>
        <w:ind w:left="2410" w:hanging="414"/>
        <w:rPr>
          <w:lang w:val="en-GB"/>
        </w:rPr>
      </w:pPr>
      <w:r w:rsidRPr="0006279F">
        <w:rPr>
          <w:rFonts w:hint="eastAsia"/>
          <w:lang w:val="en-GB"/>
        </w:rPr>
        <w:t>上、中、下取样时，三个点垂直方向应不在一条直线上，且至少有一层取样点在该层中间位置。</w:t>
      </w:r>
      <w:r w:rsidRPr="0006279F">
        <w:rPr>
          <w:rFonts w:eastAsia="Times New Roman"/>
        </w:rPr>
        <w:br/>
        <w:t>When sampling from the upper, middle, and the bottom, the three points should not be on a straight line in the vertical direction, and at least one layer of sampling points should be in the middle of that layer.</w:t>
      </w:r>
    </w:p>
    <w:p w:rsidR="00382031" w:rsidRPr="0006279F" w14:paraId="1E1B44D6" w14:textId="77777777">
      <w:pPr>
        <w:pStyle w:val="3"/>
        <w:numPr>
          <w:ilvl w:val="0"/>
          <w:numId w:val="2"/>
        </w:numPr>
        <w:spacing w:after="240"/>
        <w:ind w:left="2410" w:hanging="414"/>
        <w:rPr>
          <w:lang w:val="en-GB"/>
        </w:rPr>
      </w:pPr>
      <w:r w:rsidRPr="0006279F">
        <w:rPr>
          <w:rFonts w:hint="eastAsia"/>
          <w:lang w:val="en-GB"/>
        </w:rPr>
        <w:t>若预处理后的物料数量较少不便于从上中下取样则从三个不同的位置取样后混合。</w:t>
      </w:r>
      <w:r w:rsidRPr="0006279F">
        <w:rPr>
          <w:rFonts w:eastAsia="Times New Roman"/>
        </w:rPr>
        <w:br/>
        <w:t>If the quantity of preprocessed materials is small and it is not convenient to sample from the top, middle, and bottom, samples should be taken from three different positions and mixed.</w:t>
      </w:r>
    </w:p>
    <w:p w:rsidR="00382031" w:rsidRPr="0006279F" w14:paraId="172C7BEB" w14:textId="77777777">
      <w:pPr>
        <w:pStyle w:val="3"/>
        <w:numPr>
          <w:ilvl w:val="0"/>
          <w:numId w:val="2"/>
        </w:numPr>
        <w:spacing w:after="240"/>
        <w:ind w:left="2410" w:hanging="414"/>
        <w:rPr>
          <w:lang w:val="en-GB"/>
        </w:rPr>
      </w:pPr>
      <w:r w:rsidRPr="0006279F">
        <w:rPr>
          <w:rFonts w:hint="eastAsia"/>
          <w:lang w:val="en-GB"/>
        </w:rPr>
        <w:t>多件包装容器的取样件应分布在预处理前中后，取样后样品可混合在一个取样容器中。</w:t>
      </w:r>
      <w:r w:rsidRPr="0006279F">
        <w:rPr>
          <w:rFonts w:eastAsia="Times New Roman"/>
        </w:rPr>
        <w:br/>
        <w:t>Samples of multiple packaging containers should be distributed before, during, and after pre-treatment, and the samples can be mixed in one sampling container after sampling.</w:t>
      </w:r>
    </w:p>
    <w:p w:rsidR="00382031" w:rsidRPr="0006279F" w:rsidP="00DB7E23" w14:paraId="67ECF5E8" w14:textId="2BFE568F">
      <w:pPr>
        <w:pStyle w:val="4"/>
        <w:numPr>
          <w:numId w:val="1"/>
        </w:numPr>
        <w:spacing w:after="240"/>
        <w:jc w:val="left"/>
      </w:pPr>
      <w:r w:rsidRPr="0006279F">
        <w:rPr>
          <w:rFonts w:hint="eastAsia"/>
        </w:rPr>
        <w:t>制粒后粒径</w:t>
      </w:r>
      <w:r w:rsidRPr="0006279F">
        <w:rPr>
          <w:rFonts w:hint="eastAsia"/>
        </w:rPr>
        <w:t>分布的取样</w:t>
      </w:r>
      <w:r w:rsidRPr="0006279F">
        <w:br/>
      </w:r>
      <w:r w:rsidRPr="0006279F">
        <w:rPr>
          <w:rFonts w:eastAsia="Times New Roman"/>
        </w:rPr>
        <w:t>Sampling of particle size distribution after granulation</w:t>
      </w:r>
      <w:r w:rsidRPr="0006279F">
        <w:br/>
      </w:r>
      <w:r w:rsidRPr="0006279F">
        <w:rPr>
          <w:rFonts w:hint="eastAsia"/>
        </w:rPr>
        <w:t>取样时，使用不锈钢取样瓢，接在干法制粒机出料口，接取</w:t>
      </w:r>
      <w:r w:rsidRPr="0006279F">
        <w:rPr>
          <w:rFonts w:hint="eastAsia"/>
        </w:rPr>
        <w:t>2</w:t>
      </w:r>
      <w:r w:rsidRPr="0006279F">
        <w:t>5</w:t>
      </w:r>
      <w:r w:rsidRPr="0006279F">
        <w:rPr>
          <w:rFonts w:hint="eastAsia"/>
        </w:rPr>
        <w:t>g~</w:t>
      </w:r>
      <w:r w:rsidRPr="0006279F">
        <w:t>100</w:t>
      </w:r>
      <w:r w:rsidRPr="0006279F">
        <w:rPr>
          <w:rFonts w:hint="eastAsia"/>
        </w:rPr>
        <w:t>g</w:t>
      </w:r>
      <w:r w:rsidRPr="0006279F">
        <w:rPr>
          <w:rFonts w:hint="eastAsia"/>
        </w:rPr>
        <w:t>的颗粒（若</w:t>
      </w:r>
      <w:r w:rsidRPr="0006279F">
        <w:rPr>
          <w:rFonts w:hint="eastAsia"/>
        </w:rPr>
        <w:t>取样量未在</w:t>
      </w:r>
      <w:r w:rsidRPr="0006279F">
        <w:rPr>
          <w:rFonts w:hint="eastAsia"/>
        </w:rPr>
        <w:t>规定范围内，需</w:t>
      </w:r>
      <w:r w:rsidRPr="0006279F">
        <w:rPr>
          <w:rFonts w:hint="eastAsia"/>
        </w:rPr>
        <w:t>做废</w:t>
      </w:r>
      <w:r w:rsidRPr="0006279F">
        <w:rPr>
          <w:rFonts w:hint="eastAsia"/>
        </w:rPr>
        <w:t>弃物处理，并重新取样），取样后盖上取样瓢的盖子转移至中控间，使用烧杯或不锈钢盘等容器称量样品重量，将样品全部转移至振动筛分仪检测粒径分布，检测后的颗粒</w:t>
      </w:r>
      <w:r w:rsidRPr="0006279F">
        <w:rPr>
          <w:rFonts w:hint="eastAsia"/>
        </w:rPr>
        <w:t>做废</w:t>
      </w:r>
      <w:r w:rsidRPr="0006279F">
        <w:rPr>
          <w:rFonts w:hint="eastAsia"/>
        </w:rPr>
        <w:t>弃物处理。</w:t>
      </w:r>
      <w:r w:rsidRPr="0006279F">
        <w:rPr>
          <w:rFonts w:eastAsia="Times New Roman"/>
        </w:rPr>
        <w:br/>
        <w:t xml:space="preserve">When sampling, use a </w:t>
      </w:r>
      <w:r w:rsidRPr="0006279F">
        <w:rPr>
          <w:rFonts w:eastAsia="Times New Roman"/>
        </w:rPr>
        <w:t>stainless steel</w:t>
      </w:r>
      <w:r w:rsidRPr="0006279F">
        <w:rPr>
          <w:rFonts w:eastAsia="Times New Roman"/>
        </w:rPr>
        <w:t xml:space="preserve"> sampling ladle and connect it to the discharge port of the dry granulation machine. Take 25g-100g of particles (if the sampling amount is not within the specified range, it needs to be disposed as waste and resampled). Cover the sampling ladle with the lid and transfer it to the </w:t>
      </w:r>
      <w:r w:rsidRPr="0006279F" w:rsidR="00DB7E23">
        <w:rPr>
          <w:rFonts w:eastAsia="Times New Roman"/>
        </w:rPr>
        <w:t>QA In-process Control Room</w:t>
      </w:r>
      <w:r w:rsidRPr="0006279F">
        <w:rPr>
          <w:rFonts w:eastAsia="Times New Roman"/>
        </w:rPr>
        <w:t xml:space="preserve">. Use a beaker or </w:t>
      </w:r>
      <w:r w:rsidRPr="0006279F">
        <w:rPr>
          <w:rFonts w:eastAsia="Times New Roman"/>
        </w:rPr>
        <w:t>stainless steel</w:t>
      </w:r>
      <w:r w:rsidRPr="0006279F">
        <w:rPr>
          <w:rFonts w:eastAsia="Times New Roman"/>
        </w:rPr>
        <w:t xml:space="preserve"> plate to weigh the sample, and transfer all the samples to </w:t>
      </w:r>
      <w:r w:rsidRPr="0006279F" w:rsidR="00DB7E23">
        <w:rPr>
          <w:rFonts w:eastAsia="Times New Roman" w:hint="eastAsia"/>
        </w:rPr>
        <w:t>the</w:t>
      </w:r>
      <w:r w:rsidRPr="0006279F">
        <w:rPr>
          <w:rFonts w:eastAsia="Times New Roman"/>
        </w:rPr>
        <w:t xml:space="preserve"> </w:t>
      </w:r>
      <w:r w:rsidRPr="0006279F" w:rsidR="00DB7E23">
        <w:rPr>
          <w:rFonts w:eastAsia="Times New Roman"/>
        </w:rPr>
        <w:t xml:space="preserve">Sieve </w:t>
      </w:r>
      <w:r w:rsidRPr="0006279F" w:rsidR="00DB7E23">
        <w:t>Shaker</w:t>
      </w:r>
      <w:r w:rsidRPr="0006279F">
        <w:rPr>
          <w:rFonts w:eastAsia="Times New Roman"/>
        </w:rPr>
        <w:t xml:space="preserve"> to detect the particle size distribution. Dispose of the detected particles as waste.</w:t>
      </w:r>
    </w:p>
    <w:p w:rsidR="00382031" w:rsidRPr="0006279F" w:rsidP="00DB7E23" w14:paraId="620716B3" w14:textId="3796C4E2">
      <w:pPr>
        <w:pStyle w:val="4"/>
        <w:numPr>
          <w:numId w:val="1"/>
        </w:numPr>
        <w:spacing w:after="240"/>
        <w:jc w:val="left"/>
      </w:pPr>
      <w:r w:rsidRPr="0006279F">
        <w:rPr>
          <w:rFonts w:hint="eastAsia"/>
        </w:rPr>
        <w:t>堆密度</w:t>
      </w:r>
      <w:r w:rsidRPr="0006279F">
        <w:rPr>
          <w:rFonts w:hint="eastAsia"/>
        </w:rPr>
        <w:t>/</w:t>
      </w:r>
      <w:r w:rsidRPr="0006279F">
        <w:rPr>
          <w:rFonts w:hint="eastAsia"/>
        </w:rPr>
        <w:t>振实密度样品的取样</w:t>
      </w:r>
      <w:r w:rsidRPr="0006279F">
        <w:br/>
      </w:r>
      <w:r w:rsidRPr="0006279F">
        <w:rPr>
          <w:rFonts w:eastAsia="Times New Roman"/>
        </w:rPr>
        <w:t>Sampling of bulk density/tap density samples</w:t>
      </w:r>
      <w:r w:rsidRPr="0006279F">
        <w:br/>
      </w:r>
      <w:r w:rsidRPr="0006279F">
        <w:rPr>
          <w:rFonts w:hint="eastAsia"/>
        </w:rPr>
        <w:t>取样时，使用不锈钢取样瓢，接在干法制粒机出料口，取样后盖上取样瓢的盖子转移至中控间，使用烧杯或不锈钢盘等容器称量样品重量，使用称量纸或漏斗等工具将样品全部转移至振实密度仪的量筒中，检测堆密度和振实密度，检测后的颗粒</w:t>
      </w:r>
      <w:r w:rsidRPr="0006279F">
        <w:rPr>
          <w:rFonts w:hint="eastAsia"/>
        </w:rPr>
        <w:t>做废</w:t>
      </w:r>
      <w:r w:rsidRPr="0006279F">
        <w:rPr>
          <w:rFonts w:hint="eastAsia"/>
        </w:rPr>
        <w:t>弃物处理。取样量为：物料的堆密度</w:t>
      </w:r>
      <w:r w:rsidRPr="0006279F">
        <w:rPr>
          <w:rFonts w:hint="eastAsia"/>
        </w:rPr>
        <w:t>*</w:t>
      </w:r>
      <w:r w:rsidRPr="0006279F">
        <w:rPr>
          <w:rFonts w:hint="eastAsia"/>
        </w:rPr>
        <w:t>表观体积应不低于所选量筒刻度的</w:t>
      </w:r>
      <w:r w:rsidRPr="0006279F">
        <w:rPr>
          <w:rFonts w:hint="eastAsia"/>
        </w:rPr>
        <w:t>60%</w:t>
      </w:r>
      <w:r w:rsidRPr="0006279F">
        <w:rPr>
          <w:rFonts w:hint="eastAsia"/>
        </w:rPr>
        <w:t>的体积</w:t>
      </w:r>
      <w:r w:rsidRPr="0006279F">
        <w:rPr>
          <w:rFonts w:hint="eastAsia"/>
        </w:rPr>
        <w:t>~</w:t>
      </w:r>
      <w:r w:rsidRPr="0006279F">
        <w:rPr>
          <w:rFonts w:hint="eastAsia"/>
        </w:rPr>
        <w:t>物料的堆密度</w:t>
      </w:r>
      <w:r w:rsidRPr="0006279F">
        <w:rPr>
          <w:rFonts w:hint="eastAsia"/>
        </w:rPr>
        <w:t>*</w:t>
      </w:r>
      <w:r w:rsidRPr="0006279F">
        <w:rPr>
          <w:rFonts w:hint="eastAsia"/>
        </w:rPr>
        <w:t>量筒</w:t>
      </w:r>
      <w:r w:rsidRPr="0006279F">
        <w:rPr>
          <w:rFonts w:hint="eastAsia"/>
        </w:rPr>
        <w:t>1</w:t>
      </w:r>
      <w:r w:rsidRPr="0006279F">
        <w:t>00</w:t>
      </w:r>
      <w:r w:rsidRPr="0006279F">
        <w:rPr>
          <w:rFonts w:hint="eastAsia"/>
        </w:rPr>
        <w:t>%</w:t>
      </w:r>
      <w:r w:rsidRPr="0006279F">
        <w:rPr>
          <w:rFonts w:hint="eastAsia"/>
        </w:rPr>
        <w:t>体积，振实密度仪量筒容积分别为：</w:t>
      </w:r>
      <w:r w:rsidRPr="0006279F">
        <w:rPr>
          <w:rFonts w:hint="eastAsia"/>
        </w:rPr>
        <w:t>2</w:t>
      </w:r>
      <w:r w:rsidRPr="0006279F">
        <w:t>5</w:t>
      </w:r>
      <w:r w:rsidRPr="0006279F">
        <w:rPr>
          <w:rFonts w:hint="eastAsia"/>
        </w:rPr>
        <w:t>ml</w:t>
      </w:r>
      <w:r w:rsidRPr="0006279F">
        <w:rPr>
          <w:rFonts w:hint="eastAsia"/>
        </w:rPr>
        <w:t>、</w:t>
      </w:r>
      <w:r w:rsidRPr="0006279F">
        <w:rPr>
          <w:rFonts w:hint="eastAsia"/>
        </w:rPr>
        <w:t>5</w:t>
      </w:r>
      <w:r w:rsidRPr="0006279F">
        <w:t>0</w:t>
      </w:r>
      <w:r w:rsidRPr="0006279F">
        <w:rPr>
          <w:rFonts w:hint="eastAsia"/>
        </w:rPr>
        <w:t>ml</w:t>
      </w:r>
      <w:r w:rsidRPr="0006279F">
        <w:rPr>
          <w:rFonts w:hint="eastAsia"/>
        </w:rPr>
        <w:t>、</w:t>
      </w:r>
      <w:r w:rsidRPr="0006279F">
        <w:rPr>
          <w:rFonts w:hint="eastAsia"/>
        </w:rPr>
        <w:t>1</w:t>
      </w:r>
      <w:r w:rsidRPr="0006279F">
        <w:t>00</w:t>
      </w:r>
      <w:r w:rsidRPr="0006279F">
        <w:rPr>
          <w:rFonts w:hint="eastAsia"/>
        </w:rPr>
        <w:t>ml</w:t>
      </w:r>
      <w:r w:rsidRPr="0006279F">
        <w:rPr>
          <w:rFonts w:hint="eastAsia"/>
        </w:rPr>
        <w:t>、</w:t>
      </w:r>
      <w:r w:rsidRPr="0006279F">
        <w:rPr>
          <w:rFonts w:hint="eastAsia"/>
        </w:rPr>
        <w:t>2</w:t>
      </w:r>
      <w:r w:rsidRPr="0006279F">
        <w:t>50</w:t>
      </w:r>
      <w:r w:rsidRPr="0006279F">
        <w:rPr>
          <w:rFonts w:hint="eastAsia"/>
        </w:rPr>
        <w:t>ml</w:t>
      </w:r>
      <w:r w:rsidRPr="0006279F">
        <w:rPr>
          <w:rFonts w:hint="eastAsia"/>
        </w:rPr>
        <w:t>。</w:t>
      </w:r>
      <w:r w:rsidRPr="0006279F">
        <w:rPr>
          <w:rFonts w:eastAsia="Times New Roman"/>
        </w:rPr>
        <w:br/>
        <w:t xml:space="preserve">When sampling, use a </w:t>
      </w:r>
      <w:r w:rsidRPr="0006279F">
        <w:rPr>
          <w:rFonts w:eastAsia="Times New Roman"/>
        </w:rPr>
        <w:t>stainless steel</w:t>
      </w:r>
      <w:r w:rsidRPr="0006279F">
        <w:rPr>
          <w:rFonts w:eastAsia="Times New Roman"/>
        </w:rPr>
        <w:t xml:space="preserve"> sampling ladle and connect it to the discharge port of the dry granulation machine. Cover the sampling ladle with the lid and transfer it to the </w:t>
      </w:r>
      <w:r w:rsidRPr="0006279F" w:rsidR="00DB7E23">
        <w:rPr>
          <w:rFonts w:eastAsia="Times New Roman"/>
        </w:rPr>
        <w:t>QA In-process Control Room</w:t>
      </w:r>
      <w:r w:rsidRPr="0006279F">
        <w:rPr>
          <w:rFonts w:eastAsia="Times New Roman"/>
        </w:rPr>
        <w:t xml:space="preserve">. Use a beaker or </w:t>
      </w:r>
      <w:r w:rsidRPr="0006279F">
        <w:rPr>
          <w:rFonts w:eastAsia="Times New Roman"/>
        </w:rPr>
        <w:t>stainless steel</w:t>
      </w:r>
      <w:r w:rsidRPr="0006279F">
        <w:rPr>
          <w:rFonts w:eastAsia="Times New Roman"/>
        </w:rPr>
        <w:t xml:space="preserve"> plate to weigh the sample, and use tools such as weighing paper or funnel to transfer all the samples to the measuring cylinder of the </w:t>
      </w:r>
      <w:r w:rsidRPr="0006279F" w:rsidR="00DB7E23">
        <w:rPr>
          <w:rFonts w:eastAsia="Times New Roman"/>
        </w:rPr>
        <w:t>Tapping Apparatus</w:t>
      </w:r>
      <w:r w:rsidRPr="0006279F">
        <w:rPr>
          <w:rFonts w:eastAsia="Times New Roman"/>
        </w:rPr>
        <w:t xml:space="preserve">. Test the bulk density and </w:t>
      </w:r>
      <w:r w:rsidRPr="0006279F" w:rsidR="00DB7E23">
        <w:rPr>
          <w:rFonts w:eastAsia="Times New Roman" w:hint="eastAsia"/>
        </w:rPr>
        <w:t>tap</w:t>
      </w:r>
      <w:r w:rsidRPr="0006279F">
        <w:rPr>
          <w:rFonts w:eastAsia="Times New Roman"/>
        </w:rPr>
        <w:t xml:space="preserve"> density, and dispose of the particles as waste after testing. The sampling amount is: the bulk density of the material multiplied by the apparent volume should not be less than 60% of the volume of the selected measuring cylinder scale~</w:t>
      </w:r>
      <w:r w:rsidR="009E69E9">
        <w:rPr>
          <w:rFonts w:eastAsia="Times New Roman"/>
        </w:rPr>
        <w:t xml:space="preserve"> </w:t>
      </w:r>
      <w:r w:rsidRPr="0006279F">
        <w:rPr>
          <w:rFonts w:eastAsia="Times New Roman"/>
        </w:rPr>
        <w:t>the bulk density of the material multiplied by 100% of the volume of the measuring cylinder. The volumetric capacities of the vibrating density meter measuring cylinders are 25ml, 50ml, 100ml, and 250ml, respectively.</w:t>
      </w:r>
    </w:p>
    <w:p w:rsidR="00382031" w:rsidRPr="0006279F" w:rsidP="00382031" w14:paraId="44FEB67B" w14:textId="77777777">
      <w:pPr>
        <w:pStyle w:val="4"/>
        <w:numPr>
          <w:numId w:val="1"/>
        </w:numPr>
        <w:spacing w:after="240"/>
      </w:pPr>
      <w:r w:rsidRPr="0006279F">
        <w:rPr>
          <w:rFonts w:hint="eastAsia"/>
        </w:rPr>
        <w:t>混合均匀度样品的取样</w:t>
      </w:r>
      <w:r w:rsidRPr="0006279F">
        <w:rPr>
          <w:rFonts w:eastAsia="Times New Roman"/>
        </w:rPr>
        <w:br/>
        <w:t>Sampling of Mixed Uniformity Samples</w:t>
      </w:r>
    </w:p>
    <w:p w:rsidR="00382031" w:rsidRPr="0006279F" w14:paraId="7AAB6446" w14:textId="77777777">
      <w:pPr>
        <w:pStyle w:val="3"/>
        <w:numPr>
          <w:ilvl w:val="0"/>
          <w:numId w:val="2"/>
        </w:numPr>
        <w:spacing w:after="240"/>
        <w:ind w:left="2410" w:hanging="414"/>
      </w:pPr>
      <w:r w:rsidRPr="0006279F">
        <w:rPr>
          <w:rFonts w:hint="eastAsia"/>
          <w:caps/>
        </w:rPr>
        <w:t>方锥形物料罐中的取样点示意图如下：确认物料表面已抚平后，在混合罐的上部、转角边缘处和出料口共</w:t>
      </w:r>
      <w:r w:rsidRPr="0006279F">
        <w:rPr>
          <w:caps/>
        </w:rPr>
        <w:t>11</w:t>
      </w:r>
      <w:r w:rsidRPr="0006279F">
        <w:rPr>
          <w:rFonts w:hint="eastAsia"/>
          <w:caps/>
        </w:rPr>
        <w:t>个位置分别取样，每个位置取三份样品，其中两份样品备用。</w:t>
      </w:r>
      <w:r w:rsidRPr="0006279F">
        <w:rPr>
          <w:rFonts w:eastAsia="Times New Roman"/>
        </w:rPr>
        <w:br/>
        <w:t xml:space="preserve">The schematic diagram of the sampling points in the conical material tank is as follows: After confirming that the surface of the material has been smoothed, samples are taken at 11 positions including the upper </w:t>
      </w:r>
      <w:r w:rsidRPr="0006279F">
        <w:rPr>
          <w:rFonts w:eastAsia="Times New Roman"/>
        </w:rPr>
        <w:t>part, corner edge, and discharge port of the mixing tank. Three samples are taken from each position, with two samples for backup.</w:t>
      </w:r>
    </w:p>
    <w:p w:rsidR="00382031" w:rsidRPr="0006279F" w:rsidP="00382031" w14:paraId="1C32B83C" w14:textId="77777777">
      <w:pPr>
        <w:pStyle w:val="3"/>
        <w:numPr>
          <w:ilvl w:val="0"/>
          <w:numId w:val="0"/>
        </w:numPr>
        <w:spacing w:after="240"/>
        <w:ind w:left="2410"/>
        <w:rPr>
          <w:noProof/>
        </w:rPr>
      </w:pPr>
      <w:r w:rsidRPr="0006279F">
        <w:rPr>
          <w:noProof/>
        </w:rPr>
        <w:drawing>
          <wp:inline distT="0" distB="0" distL="0" distR="0">
            <wp:extent cx="2926080" cy="2758440"/>
            <wp:effectExtent l="0" t="0" r="7620" b="3810"/>
            <wp:docPr id="1708702738"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02738" name="图片 2" descr="图示&#10;&#10;描述已自动生成"/>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6080" cy="2758440"/>
                    </a:xfrm>
                    <a:prstGeom prst="rect">
                      <a:avLst/>
                    </a:prstGeom>
                    <a:noFill/>
                    <a:ln>
                      <a:noFill/>
                    </a:ln>
                  </pic:spPr>
                </pic:pic>
              </a:graphicData>
            </a:graphic>
          </wp:inline>
        </w:drawing>
      </w:r>
    </w:p>
    <w:p w:rsidR="00382031" w:rsidRPr="0006279F" w14:paraId="60D2915D" w14:textId="77777777">
      <w:pPr>
        <w:pStyle w:val="3"/>
        <w:numPr>
          <w:ilvl w:val="0"/>
          <w:numId w:val="2"/>
        </w:numPr>
        <w:spacing w:after="240"/>
        <w:ind w:left="2410" w:hanging="414"/>
      </w:pPr>
      <w:r w:rsidRPr="0006279F">
        <w:rPr>
          <w:rFonts w:hint="eastAsia"/>
        </w:rPr>
        <w:t>取样前，需称量所有取样容器的总重量。</w:t>
      </w:r>
      <w:r w:rsidRPr="0006279F">
        <w:rPr>
          <w:rFonts w:eastAsia="Times New Roman"/>
        </w:rPr>
        <w:br/>
        <w:t>Before sampling, it is necessary to weigh the total weight of all sampling containers.</w:t>
      </w:r>
    </w:p>
    <w:p w:rsidR="00382031" w:rsidRPr="0006279F" w14:paraId="091F8623" w14:textId="77777777">
      <w:pPr>
        <w:pStyle w:val="3"/>
        <w:numPr>
          <w:ilvl w:val="0"/>
          <w:numId w:val="2"/>
        </w:numPr>
        <w:spacing w:after="240"/>
        <w:ind w:left="2410" w:hanging="414"/>
        <w:rPr>
          <w:b/>
        </w:rPr>
      </w:pPr>
      <w:r w:rsidRPr="0006279F">
        <w:rPr>
          <w:rFonts w:hint="eastAsia"/>
        </w:rPr>
        <w:t>按</w:t>
      </w:r>
      <w:r w:rsidRPr="0006279F">
        <w:rPr>
          <w:rFonts w:hint="eastAsia"/>
        </w:rPr>
        <w:t>6.4</w:t>
      </w:r>
      <w:r w:rsidRPr="0006279F">
        <w:rPr>
          <w:rFonts w:hint="eastAsia"/>
        </w:rPr>
        <w:t>确定取样量和合适的取样头，按取样点顺序依次进行取样，每份样品均应</w:t>
      </w:r>
      <w:r w:rsidRPr="0006279F">
        <w:rPr>
          <w:rFonts w:hint="eastAsia"/>
        </w:rPr>
        <w:t>一次取够足量</w:t>
      </w:r>
      <w:r w:rsidRPr="0006279F">
        <w:rPr>
          <w:rFonts w:hint="eastAsia"/>
        </w:rPr>
        <w:t>且全</w:t>
      </w:r>
      <w:r w:rsidRPr="0006279F">
        <w:rPr>
          <w:rFonts w:hint="eastAsia"/>
        </w:rPr>
        <w:t>量转移</w:t>
      </w:r>
      <w:r w:rsidRPr="0006279F">
        <w:rPr>
          <w:rFonts w:hint="eastAsia"/>
        </w:rPr>
        <w:t>至样品容器，</w:t>
      </w:r>
      <w:r w:rsidRPr="0006279F">
        <w:rPr>
          <w:rFonts w:hAnsi="宋体" w:hint="eastAsia"/>
        </w:rPr>
        <w:t>应避免出现分样和二次取样操作。</w:t>
      </w:r>
      <w:r w:rsidRPr="0006279F">
        <w:rPr>
          <w:rFonts w:eastAsia="Times New Roman"/>
        </w:rPr>
        <w:br/>
        <w:t>Determine the sampling amount and appropriate sampling head according to 6.4, and take samples in sequence according to the sampling points. Each sample should be taken in sufficient quantity at once and transferred to the sample container in full. Separation and secondary sampling operations should be avoided.</w:t>
      </w:r>
    </w:p>
    <w:p w:rsidR="00382031" w:rsidRPr="0006279F" w14:paraId="1969AF07" w14:textId="77777777">
      <w:pPr>
        <w:pStyle w:val="3"/>
        <w:numPr>
          <w:ilvl w:val="0"/>
          <w:numId w:val="2"/>
        </w:numPr>
        <w:spacing w:after="240"/>
        <w:ind w:left="2410" w:hanging="414"/>
        <w:rPr>
          <w:b/>
        </w:rPr>
      </w:pPr>
      <w:r w:rsidRPr="0006279F">
        <w:rPr>
          <w:rFonts w:hint="eastAsia"/>
        </w:rPr>
        <w:t>若有单点取样量不在要求范围内，则此份样品作废料处理并重新取样。</w:t>
      </w:r>
      <w:r w:rsidRPr="0006279F">
        <w:rPr>
          <w:rFonts w:eastAsia="Times New Roman"/>
        </w:rPr>
        <w:br/>
        <w:t>If the sampling volume of a single point is not within the required range, the sample will be treated as waste and resampled.</w:t>
      </w:r>
    </w:p>
    <w:p w:rsidR="00382031" w:rsidRPr="0006279F" w14:paraId="066C6FDF" w14:textId="77777777">
      <w:pPr>
        <w:pStyle w:val="3"/>
        <w:numPr>
          <w:ilvl w:val="0"/>
          <w:numId w:val="2"/>
        </w:numPr>
        <w:spacing w:after="240"/>
        <w:ind w:left="2410" w:hanging="414"/>
        <w:rPr>
          <w:b/>
        </w:rPr>
      </w:pPr>
      <w:r w:rsidRPr="0006279F">
        <w:rPr>
          <w:rFonts w:hint="eastAsia"/>
        </w:rPr>
        <w:t>取样后，称量样品及容器的总重量，可计算出总取样量。</w:t>
      </w:r>
      <w:r w:rsidRPr="0006279F">
        <w:rPr>
          <w:rFonts w:eastAsia="Times New Roman"/>
        </w:rPr>
        <w:br/>
        <w:t>After sampling, the total weight of the sample and container can be weighed to calculate the total sampling amount.</w:t>
      </w:r>
    </w:p>
    <w:p w:rsidR="00382031" w:rsidRPr="0006279F" w:rsidP="00382031" w14:paraId="090C66B4" w14:textId="77777777">
      <w:pPr>
        <w:pStyle w:val="4"/>
        <w:numPr>
          <w:numId w:val="1"/>
        </w:numPr>
        <w:spacing w:after="240"/>
        <w:rPr>
          <w:b/>
          <w:bCs w:val="0"/>
        </w:rPr>
      </w:pPr>
      <w:r w:rsidRPr="0006279F">
        <w:rPr>
          <w:rFonts w:hint="eastAsia"/>
          <w:caps/>
        </w:rPr>
        <w:t>含量、性状、水分等样品的取样</w:t>
      </w:r>
      <w:r w:rsidRPr="0006279F">
        <w:rPr>
          <w:rFonts w:eastAsia="Times New Roman"/>
        </w:rPr>
        <w:br/>
        <w:t xml:space="preserve">Sampling of content, characteristics, moisture, </w:t>
      </w:r>
      <w:r w:rsidRPr="0006279F">
        <w:rPr>
          <w:rFonts w:eastAsia="Times New Roman"/>
        </w:rPr>
        <w:t>etc</w:t>
      </w:r>
    </w:p>
    <w:p w:rsidR="00382031" w:rsidRPr="0006279F" w14:paraId="3BCCACB5" w14:textId="77777777">
      <w:pPr>
        <w:pStyle w:val="3"/>
        <w:numPr>
          <w:ilvl w:val="0"/>
          <w:numId w:val="2"/>
        </w:numPr>
        <w:spacing w:after="240"/>
        <w:ind w:left="2410" w:hanging="414"/>
        <w:rPr>
          <w:bCs/>
        </w:rPr>
      </w:pPr>
      <w:r w:rsidRPr="0006279F">
        <w:rPr>
          <w:rFonts w:hint="eastAsia"/>
          <w:bCs/>
        </w:rPr>
        <w:t>使用取样器在混合罐或物料罐的上、中、下三层各取一个点，并在取样袋</w:t>
      </w:r>
      <w:r w:rsidRPr="0006279F">
        <w:rPr>
          <w:rFonts w:hint="eastAsia"/>
          <w:bCs/>
        </w:rPr>
        <w:t>/</w:t>
      </w:r>
      <w:r w:rsidRPr="0006279F">
        <w:rPr>
          <w:rFonts w:hint="eastAsia"/>
          <w:bCs/>
        </w:rPr>
        <w:t>瓶中进行混合，至少上下翻转混合</w:t>
      </w:r>
      <w:r w:rsidRPr="0006279F">
        <w:rPr>
          <w:rFonts w:hint="eastAsia"/>
          <w:bCs/>
        </w:rPr>
        <w:t>10</w:t>
      </w:r>
      <w:r w:rsidRPr="0006279F">
        <w:rPr>
          <w:rFonts w:hint="eastAsia"/>
          <w:bCs/>
        </w:rPr>
        <w:t>次。</w:t>
      </w:r>
      <w:r w:rsidRPr="0006279F">
        <w:rPr>
          <w:rFonts w:eastAsia="Times New Roman"/>
        </w:rPr>
        <w:br/>
        <w:t xml:space="preserve">Use a sampler to take one point from each of the upper, middle, and lower layers of the mixing tank or material tank, and mix them in a </w:t>
      </w:r>
      <w:r w:rsidRPr="0006279F">
        <w:rPr>
          <w:rFonts w:eastAsia="Times New Roman"/>
        </w:rPr>
        <w:t>sampling bag/bottle by flipping them up and down at least 10 times.</w:t>
      </w:r>
    </w:p>
    <w:p w:rsidR="00382031" w:rsidRPr="0006279F" w14:paraId="360A60C4" w14:textId="77777777">
      <w:pPr>
        <w:pStyle w:val="3"/>
        <w:numPr>
          <w:ilvl w:val="0"/>
          <w:numId w:val="2"/>
        </w:numPr>
        <w:spacing w:after="240"/>
        <w:ind w:left="2410" w:hanging="414"/>
        <w:rPr>
          <w:bCs/>
        </w:rPr>
      </w:pPr>
      <w:r w:rsidRPr="0006279F">
        <w:rPr>
          <w:rFonts w:hint="eastAsia"/>
          <w:bCs/>
        </w:rPr>
        <w:t>若物料数量较少不便于从上中下取样，则从三个不同的位置取样后混合。</w:t>
      </w:r>
      <w:r w:rsidRPr="0006279F">
        <w:rPr>
          <w:rFonts w:eastAsia="Times New Roman"/>
        </w:rPr>
        <w:br/>
        <w:t>If the quantity of materials is small and it is not convenient to sample from the top, middle, and bottom, samples should be taken from three different locations and mixed.</w:t>
      </w:r>
    </w:p>
    <w:p w:rsidR="00382031" w:rsidRPr="0006279F" w:rsidP="00382031" w14:paraId="472EFDD8" w14:textId="77777777">
      <w:pPr>
        <w:pStyle w:val="4"/>
        <w:numPr>
          <w:numId w:val="1"/>
        </w:numPr>
        <w:spacing w:after="240"/>
        <w:rPr>
          <w:b/>
          <w:caps/>
        </w:rPr>
      </w:pPr>
      <w:r w:rsidRPr="0006279F">
        <w:rPr>
          <w:rFonts w:hint="eastAsia"/>
          <w:caps/>
        </w:rPr>
        <w:t>素片、包衣片、胶囊、铝塑板、塑料瓶装产品的取样</w:t>
      </w:r>
      <w:r w:rsidRPr="0006279F">
        <w:rPr>
          <w:rFonts w:eastAsia="Times New Roman"/>
        </w:rPr>
        <w:br/>
        <w:t>Sampling of plain tablets, coated tablets, capsules, aluminum-plastic panels, and plastic bottled products</w:t>
      </w:r>
    </w:p>
    <w:p w:rsidR="00382031" w:rsidRPr="0006279F" w14:paraId="70CD1B9C" w14:textId="77777777">
      <w:pPr>
        <w:pStyle w:val="3"/>
        <w:numPr>
          <w:ilvl w:val="0"/>
          <w:numId w:val="2"/>
        </w:numPr>
        <w:spacing w:after="240"/>
        <w:ind w:left="2410" w:hanging="414"/>
        <w:jc w:val="left"/>
        <w:rPr>
          <w:b/>
          <w:caps/>
        </w:rPr>
      </w:pPr>
      <w:r w:rsidRPr="0006279F">
        <w:rPr>
          <w:rFonts w:hint="eastAsia"/>
          <w:caps/>
        </w:rPr>
        <w:t>按</w:t>
      </w:r>
      <w:r w:rsidRPr="0006279F">
        <w:rPr>
          <w:rFonts w:hint="eastAsia"/>
          <w:caps/>
        </w:rPr>
        <w:t>BMF</w:t>
      </w:r>
      <w:r w:rsidRPr="0006279F">
        <w:rPr>
          <w:rFonts w:hint="eastAsia"/>
          <w:caps/>
        </w:rPr>
        <w:t>法规则或工艺规程</w:t>
      </w:r>
      <w:r w:rsidRPr="0006279F">
        <w:rPr>
          <w:rFonts w:hint="eastAsia"/>
          <w:caps/>
        </w:rPr>
        <w:t>/</w:t>
      </w:r>
      <w:r w:rsidRPr="0006279F">
        <w:rPr>
          <w:rFonts w:hint="eastAsia"/>
          <w:caps/>
        </w:rPr>
        <w:t>验证方案中的要求，在生产线上随机抽取规定量的样品（素片、包衣片、胶囊取样时应借助合适的工具，如物料铲等），装于取样容器（如</w:t>
      </w:r>
      <w:r w:rsidRPr="0006279F">
        <w:rPr>
          <w:rFonts w:hint="eastAsia"/>
          <w:caps/>
        </w:rPr>
        <w:t>PE</w:t>
      </w:r>
      <w:r w:rsidRPr="0006279F">
        <w:rPr>
          <w:rFonts w:hint="eastAsia"/>
          <w:caps/>
        </w:rPr>
        <w:t>袋等）中，并贴上样品标签。</w:t>
      </w:r>
      <w:r w:rsidRPr="0006279F">
        <w:rPr>
          <w:rFonts w:eastAsia="Times New Roman"/>
        </w:rPr>
        <w:br/>
        <w:t xml:space="preserve">According to the BMF method rules or process specifications/validation plans, a specified </w:t>
      </w:r>
      <w:r w:rsidRPr="0006279F">
        <w:rPr>
          <w:rFonts w:eastAsia="Times New Roman"/>
        </w:rPr>
        <w:t>amount</w:t>
      </w:r>
      <w:r w:rsidRPr="0006279F">
        <w:rPr>
          <w:rFonts w:eastAsia="Times New Roman"/>
        </w:rPr>
        <w:t xml:space="preserve"> of samples (such as plain tablets, coated tablets, and capsules) should be randomly selected on the production line, and appropriate tools such as material shovels should be used for sampling. The samples should be placed in sampling containers (such as PE bags) and labeled.</w:t>
      </w:r>
    </w:p>
    <w:p w:rsidR="00382031" w:rsidRPr="0006279F" w14:paraId="07A92F34" w14:textId="77777777">
      <w:pPr>
        <w:pStyle w:val="3"/>
        <w:numPr>
          <w:ilvl w:val="0"/>
          <w:numId w:val="2"/>
        </w:numPr>
        <w:spacing w:after="240"/>
        <w:ind w:left="2410" w:hanging="414"/>
        <w:rPr>
          <w:b/>
          <w:caps/>
        </w:rPr>
      </w:pPr>
      <w:r w:rsidRPr="0006279F">
        <w:rPr>
          <w:rFonts w:hint="eastAsia"/>
          <w:caps/>
        </w:rPr>
        <w:t>取样过程中，所有物料一经取出，不得再次返回原物料中，在岗位现场进行检测的项目（如：密封性、水分）检测完成后，即便检测过的样品仍符合工艺要求，也不得返回物料中，需作为废料处理。</w:t>
      </w:r>
      <w:r w:rsidRPr="0006279F">
        <w:rPr>
          <w:rFonts w:eastAsia="Times New Roman"/>
        </w:rPr>
        <w:br/>
        <w:t>During the sampling process, once all materials are taken out, they must not be returned to the original material. After the testing of items (such as sealing and moisture) at the job site is completed, even if the tested samples still meet the process requirements, they cannot be returned to the material and must be treated as waste.</w:t>
      </w:r>
    </w:p>
    <w:p w:rsidR="00382031" w:rsidRPr="0006279F" w:rsidP="00382031" w14:paraId="0084975D" w14:textId="77777777">
      <w:pPr>
        <w:pStyle w:val="3"/>
        <w:numPr>
          <w:numId w:val="1"/>
        </w:numPr>
        <w:tabs>
          <w:tab w:val="left" w:pos="1701"/>
        </w:tabs>
        <w:spacing w:after="240"/>
        <w:rPr>
          <w:b/>
        </w:rPr>
      </w:pPr>
      <w:r w:rsidRPr="0006279F">
        <w:rPr>
          <w:rFonts w:hint="eastAsia"/>
        </w:rPr>
        <w:t>验证时进行的中间产品取样</w:t>
      </w:r>
      <w:r w:rsidRPr="0006279F">
        <w:t>，应注意样品的代表性。</w:t>
      </w:r>
      <w:r w:rsidRPr="0006279F">
        <w:rPr>
          <w:rFonts w:hint="eastAsia"/>
        </w:rPr>
        <w:t>如验证搅拌时间的取样应在规定的时间点进行取样；分层取样的应注意取样的代表性。</w:t>
      </w:r>
      <w:r w:rsidRPr="0006279F">
        <w:rPr>
          <w:rFonts w:eastAsia="Times New Roman"/>
        </w:rPr>
        <w:br/>
        <w:t>When sampling intermediate products during verification, attention should be paid to the representativeness of the samples. The sampling for verifying the mixing time should be taken at the specified time point; Attention should be paid to the representativeness of stratified sampling.</w:t>
      </w:r>
    </w:p>
    <w:p w:rsidR="00382031" w:rsidRPr="0006279F" w:rsidP="00382031" w14:paraId="79AF8A79" w14:textId="77777777">
      <w:pPr>
        <w:pStyle w:val="3"/>
        <w:numPr>
          <w:numId w:val="1"/>
        </w:numPr>
        <w:tabs>
          <w:tab w:val="left" w:pos="1701"/>
        </w:tabs>
        <w:spacing w:after="240"/>
        <w:rPr>
          <w:b/>
        </w:rPr>
      </w:pPr>
      <w:r w:rsidRPr="0006279F">
        <w:rPr>
          <w:rFonts w:hint="eastAsia"/>
        </w:rPr>
        <w:t>若因偏差额外进行中间产品取样，取样点位、取样方法、取样量按偏差处理意见执行。</w:t>
      </w:r>
      <w:r w:rsidRPr="0006279F">
        <w:rPr>
          <w:rFonts w:eastAsia="Times New Roman"/>
        </w:rPr>
        <w:br/>
        <w:t>If additional intermediate product sampling is carried out due to deviation, the sampling points, sampling methods, and sampling quantities shall be handled according to the deviation handling opinions.</w:t>
      </w:r>
    </w:p>
    <w:p w:rsidR="00382031" w:rsidRPr="0006279F" w:rsidP="00382031" w14:paraId="5E602CEE" w14:textId="77777777">
      <w:pPr>
        <w:pStyle w:val="3"/>
        <w:numPr>
          <w:numId w:val="1"/>
        </w:numPr>
        <w:tabs>
          <w:tab w:val="left" w:pos="1701"/>
        </w:tabs>
        <w:spacing w:after="240"/>
        <w:rPr>
          <w:b/>
        </w:rPr>
      </w:pPr>
      <w:r w:rsidRPr="0006279F">
        <w:t>一个时间只取一个样品，样品容器在取样后即应贴上</w:t>
      </w:r>
      <w:r w:rsidRPr="0006279F">
        <w:rPr>
          <w:rFonts w:hint="eastAsia"/>
        </w:rPr>
        <w:t>样品</w:t>
      </w:r>
      <w:r w:rsidRPr="0006279F">
        <w:t>标签，以免发生差错</w:t>
      </w:r>
      <w:r w:rsidRPr="0006279F">
        <w:rPr>
          <w:rFonts w:hint="eastAsia"/>
        </w:rPr>
        <w:t>；混合均匀度样品标签可按整份进行粘贴。</w:t>
      </w:r>
      <w:r w:rsidRPr="0006279F">
        <w:rPr>
          <w:rFonts w:eastAsia="Times New Roman"/>
        </w:rPr>
        <w:br/>
      </w:r>
      <w:r w:rsidRPr="0006279F">
        <w:rPr>
          <w:rFonts w:eastAsia="Times New Roman"/>
        </w:rPr>
        <w:t>Only one sample should be taken at a time, and the sample container should be labeled with a sample label immediately after sampling to avoid errors; The sample label for uniformity of mixing can be pasted as a whole.</w:t>
      </w:r>
    </w:p>
    <w:p w:rsidR="00382031" w:rsidRPr="0006279F" w:rsidP="00382031" w14:paraId="2AA89E46" w14:textId="77777777">
      <w:pPr>
        <w:pStyle w:val="3"/>
        <w:numPr>
          <w:numId w:val="1"/>
        </w:numPr>
        <w:tabs>
          <w:tab w:val="left" w:pos="1701"/>
        </w:tabs>
        <w:spacing w:after="240"/>
        <w:rPr>
          <w:b/>
          <w:caps/>
        </w:rPr>
      </w:pPr>
      <w:r w:rsidRPr="0006279F">
        <w:t>要</w:t>
      </w:r>
      <w:r w:rsidRPr="0006279F">
        <w:rPr>
          <w:rFonts w:hAnsi="宋体"/>
        </w:rPr>
        <w:t>求避光保存的</w:t>
      </w:r>
      <w:r w:rsidRPr="0006279F">
        <w:rPr>
          <w:rFonts w:hAnsi="宋体" w:hint="eastAsia"/>
        </w:rPr>
        <w:t>物料</w:t>
      </w:r>
      <w:r w:rsidRPr="0006279F">
        <w:rPr>
          <w:rFonts w:hAnsi="宋体"/>
        </w:rPr>
        <w:t>，</w:t>
      </w:r>
      <w:r w:rsidRPr="0006279F">
        <w:rPr>
          <w:rFonts w:hAnsi="宋体" w:hint="eastAsia"/>
        </w:rPr>
        <w:t>取样时应尽量控制取样时间，</w:t>
      </w:r>
      <w:r w:rsidRPr="0006279F">
        <w:rPr>
          <w:rFonts w:hAnsi="宋体"/>
        </w:rPr>
        <w:t>取好的样品用</w:t>
      </w:r>
      <w:r w:rsidRPr="0006279F">
        <w:rPr>
          <w:rFonts w:hAnsi="宋体" w:hint="eastAsia"/>
        </w:rPr>
        <w:t>不透光的样品容器盛装或另外增加避光处理，</w:t>
      </w:r>
      <w:r w:rsidRPr="0006279F">
        <w:rPr>
          <w:rFonts w:hAnsi="宋体" w:hint="eastAsia"/>
        </w:rPr>
        <w:t>如套黑色</w:t>
      </w:r>
      <w:r w:rsidRPr="0006279F">
        <w:rPr>
          <w:rFonts w:hAnsi="宋体" w:hint="eastAsia"/>
        </w:rPr>
        <w:t>PE</w:t>
      </w:r>
      <w:r w:rsidRPr="0006279F">
        <w:rPr>
          <w:rFonts w:hAnsi="宋体" w:hint="eastAsia"/>
        </w:rPr>
        <w:t>袋</w:t>
      </w:r>
      <w:r w:rsidRPr="0006279F">
        <w:rPr>
          <w:rFonts w:hAnsi="宋体"/>
        </w:rPr>
        <w:t>。</w:t>
      </w:r>
      <w:r w:rsidRPr="0006279F">
        <w:rPr>
          <w:rFonts w:eastAsia="Times New Roman"/>
        </w:rPr>
        <w:br/>
        <w:t>Materials that are required to be stored away from light should be sampled with controlled sampling time as much as possible. The collected samples should be stored in opaque sample containers or additionally protected from light, such as using black PE bags.</w:t>
      </w:r>
    </w:p>
    <w:p w:rsidR="00382031" w:rsidRPr="0006279F" w:rsidP="00382031" w14:paraId="21CCA7EB" w14:textId="77777777">
      <w:pPr>
        <w:pStyle w:val="3"/>
        <w:numPr>
          <w:numId w:val="1"/>
        </w:numPr>
        <w:tabs>
          <w:tab w:val="left" w:pos="1701"/>
        </w:tabs>
        <w:spacing w:after="240"/>
      </w:pPr>
      <w:r w:rsidRPr="0006279F">
        <w:rPr>
          <w:rFonts w:hint="eastAsia"/>
        </w:rPr>
        <w:t>中间产品取样涉及取样量按重量计算的操作，通常先称取样品容器的总皮重，取样后再称取样品及容器的总毛重，用后者重量减去前者重量得出样品的净重，特殊情况下，如取样容器重量较大，可能超出天平使用范围，可取样后，转移至其他容器进行称量。</w:t>
      </w:r>
      <w:r w:rsidRPr="0006279F">
        <w:rPr>
          <w:rFonts w:eastAsia="Times New Roman"/>
        </w:rPr>
        <w:br/>
        <w:t>The sampling of intermediate products involves the operation of calculating the sampling amount by weight. Usually, the total tare weight of the sample container is first weighed, and then the total gross weight of the sample and the container is weighed. The net weight of the sample is obtained by subtracting the weight of the former from the weight of the latter. In special cases, if the weight of the sampling container is large and may exceed the range of use of the balance, it can be transferred to other containers for weighing after sampling.</w:t>
      </w:r>
    </w:p>
    <w:p w:rsidR="00382031" w:rsidRPr="0006279F" w:rsidP="00382031" w14:paraId="43529699" w14:textId="77777777">
      <w:pPr>
        <w:pStyle w:val="3"/>
        <w:numPr>
          <w:numId w:val="1"/>
        </w:numPr>
        <w:tabs>
          <w:tab w:val="left" w:pos="1701"/>
        </w:tabs>
        <w:spacing w:after="240"/>
      </w:pPr>
      <w:r w:rsidRPr="0006279F">
        <w:rPr>
          <w:rFonts w:hint="eastAsia"/>
        </w:rPr>
        <w:t>取样过程中，应注意观察产品有无异常，如异物、杂质、色泽不均等，若有，应立即上报。</w:t>
      </w:r>
      <w:r w:rsidRPr="0006279F">
        <w:rPr>
          <w:rFonts w:eastAsia="Times New Roman"/>
        </w:rPr>
        <w:br/>
        <w:t>During the sampling process, attention should be paid to observing whether there are any abnormalities in the product, such as foreign objects, impurities, or uneven color. If there are any, they should be reported immediately.</w:t>
      </w:r>
    </w:p>
    <w:p w:rsidR="00382031" w:rsidRPr="0006279F" w:rsidP="00382031" w14:paraId="52683636" w14:textId="77777777">
      <w:pPr>
        <w:pStyle w:val="20"/>
        <w:numPr>
          <w:numId w:val="1"/>
        </w:numPr>
        <w:tabs>
          <w:tab w:val="left" w:pos="992"/>
        </w:tabs>
        <w:spacing w:after="240"/>
      </w:pPr>
      <w:r w:rsidRPr="0006279F">
        <w:rPr>
          <w:rFonts w:hint="eastAsia"/>
        </w:rPr>
        <w:t>成品的取样</w:t>
      </w:r>
      <w:r w:rsidRPr="0006279F">
        <w:rPr>
          <w:rFonts w:eastAsia="Times New Roman"/>
        </w:rPr>
        <w:br/>
        <w:t>Sampling of finished products</w:t>
      </w:r>
    </w:p>
    <w:p w:rsidR="00382031" w:rsidRPr="0006279F" w:rsidP="00382031" w14:paraId="02F48C2A" w14:textId="77777777">
      <w:pPr>
        <w:pStyle w:val="3"/>
        <w:numPr>
          <w:numId w:val="1"/>
        </w:numPr>
        <w:tabs>
          <w:tab w:val="left" w:pos="1701"/>
        </w:tabs>
        <w:spacing w:after="240"/>
      </w:pPr>
      <w:r w:rsidRPr="0006279F">
        <w:rPr>
          <w:rFonts w:hint="eastAsia"/>
        </w:rPr>
        <w:t>成品通常按照</w:t>
      </w:r>
      <w:r w:rsidRPr="0006279F">
        <w:t>BMF</w:t>
      </w:r>
      <w:r w:rsidRPr="0006279F">
        <w:rPr>
          <w:rFonts w:hint="eastAsia"/>
        </w:rPr>
        <w:t>法规则取样，通常在完成最小销售单元的包装并贴签后进行取样。特殊情况下，可在完成内包装后进行取样。</w:t>
      </w:r>
      <w:r w:rsidRPr="0006279F">
        <w:rPr>
          <w:rFonts w:eastAsia="Times New Roman"/>
        </w:rPr>
        <w:br/>
        <w:t>Finished products are usually sampled according to the BMF method rules, usually after completing the packaging and labeling of the smallest sales unit. In special circumstances, sampling can be carried out after completing the primary packaging.</w:t>
      </w:r>
    </w:p>
    <w:p w:rsidR="00382031" w:rsidRPr="0006279F" w:rsidP="00382031" w14:paraId="7AB1D2DD" w14:textId="77777777">
      <w:pPr>
        <w:pStyle w:val="3"/>
        <w:numPr>
          <w:numId w:val="1"/>
        </w:numPr>
        <w:tabs>
          <w:tab w:val="left" w:pos="1701"/>
        </w:tabs>
        <w:spacing w:after="240"/>
      </w:pPr>
      <w:r w:rsidRPr="0006279F">
        <w:rPr>
          <w:rFonts w:hint="eastAsia"/>
        </w:rPr>
        <w:t>如果生产过程是</w:t>
      </w:r>
      <w:r w:rsidRPr="0006279F">
        <w:rPr>
          <w:rFonts w:hint="eastAsia"/>
        </w:rPr>
        <w:t>亚批进行</w:t>
      </w:r>
      <w:r w:rsidRPr="0006279F">
        <w:rPr>
          <w:rFonts w:hint="eastAsia"/>
        </w:rPr>
        <w:t>的，则应从</w:t>
      </w:r>
      <w:r w:rsidRPr="0006279F">
        <w:rPr>
          <w:rFonts w:hint="eastAsia"/>
        </w:rPr>
        <w:t>每个亚批中</w:t>
      </w:r>
      <w:r w:rsidRPr="0006279F">
        <w:rPr>
          <w:rFonts w:hint="eastAsia"/>
        </w:rPr>
        <w:t>进行的取样，并分别进行检测。</w:t>
      </w:r>
      <w:r w:rsidRPr="0006279F">
        <w:rPr>
          <w:rFonts w:eastAsia="Times New Roman"/>
        </w:rPr>
        <w:br/>
      </w:r>
      <w:bookmarkStart w:id="10" w:name="NT_SRC_0000000264"/>
      <w:r w:rsidRPr="0006279F">
        <w:rPr>
          <w:rFonts w:eastAsia="Times New Roman"/>
        </w:rPr>
        <w:t>If the production process is carried out in sub batches, samples should be taken from each sub batch and tested separately.</w:t>
      </w:r>
      <w:bookmarkEnd w:id="10"/>
    </w:p>
    <w:p w:rsidR="00382031" w:rsidRPr="0006279F" w:rsidP="00382031" w14:paraId="12F35D8E" w14:textId="6E0ADB8B">
      <w:pPr>
        <w:pStyle w:val="3"/>
        <w:numPr>
          <w:numId w:val="1"/>
        </w:numPr>
        <w:tabs>
          <w:tab w:val="left" w:pos="1701"/>
        </w:tabs>
        <w:spacing w:after="240"/>
      </w:pPr>
      <w:r w:rsidRPr="0006279F">
        <w:rPr>
          <w:rFonts w:hint="eastAsia"/>
        </w:rPr>
        <w:t>稳定性试验样品通常应与成品放行</w:t>
      </w:r>
      <w:r w:rsidRPr="0006279F">
        <w:rPr>
          <w:rFonts w:hint="eastAsia"/>
        </w:rPr>
        <w:t>样同时</w:t>
      </w:r>
      <w:r w:rsidRPr="0006279F">
        <w:rPr>
          <w:rFonts w:hint="eastAsia"/>
        </w:rPr>
        <w:t>进行取样，特殊情况下，可填写</w:t>
      </w:r>
      <w:r w:rsidRPr="0006279F">
        <w:t>SMP-QC-003/R05</w:t>
      </w:r>
      <w:r w:rsidRPr="0006279F">
        <w:rPr>
          <w:rFonts w:hint="eastAsia"/>
        </w:rPr>
        <w:t>《取样申请表》进行取样。</w:t>
      </w:r>
      <w:r w:rsidRPr="0006279F">
        <w:rPr>
          <w:rFonts w:eastAsia="Times New Roman"/>
        </w:rPr>
        <w:br/>
      </w:r>
      <w:bookmarkStart w:id="11" w:name="NT_SRC_0000000266"/>
      <w:r w:rsidRPr="0006279F">
        <w:rPr>
          <w:rFonts w:eastAsia="Times New Roman"/>
        </w:rPr>
        <w:t xml:space="preserve">Stability test samples should usually be sampled simultaneously with finished </w:t>
      </w:r>
      <w:r w:rsidRPr="0006279F">
        <w:rPr>
          <w:rFonts w:eastAsia="Times New Roman"/>
        </w:rPr>
        <w:t>product release samples. In special cases, SMP-QC-003/R05 Sampling Application Form can be filled out for sampling.</w:t>
      </w:r>
      <w:bookmarkEnd w:id="11"/>
    </w:p>
    <w:p w:rsidR="00382031" w:rsidRPr="0006279F" w:rsidP="00382031" w14:paraId="1D58BEF8" w14:textId="77777777">
      <w:pPr>
        <w:pStyle w:val="3"/>
        <w:numPr>
          <w:numId w:val="1"/>
        </w:numPr>
        <w:tabs>
          <w:tab w:val="left" w:pos="1701"/>
        </w:tabs>
        <w:spacing w:after="240"/>
      </w:pPr>
      <w:r w:rsidRPr="0006279F">
        <w:rPr>
          <w:rFonts w:hint="eastAsia"/>
        </w:rPr>
        <w:t>同时取样的成品的样品可按批进行样品标签的粘贴。</w:t>
      </w:r>
      <w:r w:rsidRPr="0006279F">
        <w:rPr>
          <w:rFonts w:eastAsia="Times New Roman"/>
        </w:rPr>
        <w:br/>
        <w:t>Samples of finished products taken simultaneously can be labeled in batches.</w:t>
      </w:r>
    </w:p>
    <w:p w:rsidR="00382031" w:rsidRPr="0006279F" w:rsidP="00382031" w14:paraId="70A2F447" w14:textId="71CEC437">
      <w:pPr>
        <w:pStyle w:val="20"/>
        <w:numPr>
          <w:numId w:val="1"/>
        </w:numPr>
        <w:tabs>
          <w:tab w:val="left" w:pos="992"/>
        </w:tabs>
        <w:spacing w:after="240"/>
      </w:pPr>
      <w:bookmarkStart w:id="12" w:name="NT_SRC_0000000270"/>
      <w:r w:rsidRPr="0006279F">
        <w:rPr>
          <w:rFonts w:hint="eastAsia"/>
        </w:rPr>
        <w:t>记录填写</w:t>
      </w:r>
      <w:r w:rsidRPr="0006279F">
        <w:br/>
      </w:r>
      <w:r w:rsidRPr="0006279F">
        <w:rPr>
          <w:rFonts w:hint="eastAsia"/>
        </w:rPr>
        <w:t>F</w:t>
      </w:r>
      <w:r w:rsidRPr="0006279F">
        <w:t>ill out Records</w:t>
      </w:r>
      <w:r w:rsidRPr="0006279F">
        <w:br/>
      </w:r>
      <w:r w:rsidRPr="0006279F">
        <w:rPr>
          <w:rFonts w:hint="eastAsia"/>
        </w:rPr>
        <w:t>取样后，现场</w:t>
      </w:r>
      <w:r w:rsidRPr="0006279F">
        <w:rPr>
          <w:rFonts w:hint="eastAsia"/>
        </w:rPr>
        <w:t>QA</w:t>
      </w:r>
      <w:r w:rsidRPr="0006279F">
        <w:rPr>
          <w:rFonts w:hint="eastAsia"/>
        </w:rPr>
        <w:t>应填写《请验单》第二部分内容，同时将中间产品和成品的取样活动记录于该批产品的批记录中。</w:t>
      </w:r>
      <w:bookmarkEnd w:id="12"/>
      <w:r w:rsidRPr="0006279F">
        <w:rPr>
          <w:rFonts w:eastAsia="Times New Roman"/>
        </w:rPr>
        <w:br/>
        <w:t>After sampling, the on-site QA should fill out the second part of the Test Request Form and record the sampling activities of intermediate and finished products in the batch record of the batch of products.</w:t>
      </w:r>
    </w:p>
    <w:p w:rsidR="00382031" w:rsidRPr="0006279F" w:rsidP="00382031" w14:paraId="36822CDF" w14:textId="77777777">
      <w:pPr>
        <w:pStyle w:val="20"/>
        <w:numPr>
          <w:numId w:val="1"/>
        </w:numPr>
        <w:tabs>
          <w:tab w:val="left" w:pos="992"/>
        </w:tabs>
        <w:spacing w:after="240"/>
      </w:pPr>
      <w:r w:rsidRPr="0006279F">
        <w:rPr>
          <w:rFonts w:hint="eastAsia"/>
        </w:rPr>
        <w:t>送样</w:t>
      </w:r>
      <w:r w:rsidRPr="0006279F">
        <w:rPr>
          <w:rFonts w:eastAsia="Times New Roman"/>
        </w:rPr>
        <w:br/>
        <w:t>Send samples</w:t>
      </w:r>
    </w:p>
    <w:p w:rsidR="00382031" w:rsidRPr="0006279F" w:rsidP="00382031" w14:paraId="3B004233" w14:textId="77777777">
      <w:pPr>
        <w:pStyle w:val="3"/>
        <w:numPr>
          <w:numId w:val="1"/>
        </w:numPr>
        <w:tabs>
          <w:tab w:val="left" w:pos="1701"/>
        </w:tabs>
        <w:spacing w:after="240"/>
      </w:pPr>
      <w:r w:rsidRPr="0006279F">
        <w:rPr>
          <w:rFonts w:hint="eastAsia"/>
        </w:rPr>
        <w:t>完成取样后送</w:t>
      </w:r>
      <w:r w:rsidRPr="0006279F">
        <w:rPr>
          <w:rFonts w:hint="eastAsia"/>
        </w:rPr>
        <w:t>QC</w:t>
      </w:r>
      <w:r w:rsidRPr="0006279F">
        <w:rPr>
          <w:rFonts w:hint="eastAsia"/>
        </w:rPr>
        <w:t>检验前，样品应按其质量标准上规定的储存条件进行存放。样品转移至</w:t>
      </w:r>
      <w:r w:rsidRPr="0006279F">
        <w:rPr>
          <w:rFonts w:hint="eastAsia"/>
        </w:rPr>
        <w:t>QC</w:t>
      </w:r>
      <w:r w:rsidRPr="0006279F">
        <w:rPr>
          <w:rFonts w:hint="eastAsia"/>
        </w:rPr>
        <w:t>过程中应避免样品受到污染、光照和高温高湿的影响，转移时间不得超过</w:t>
      </w:r>
      <w:r w:rsidRPr="0006279F">
        <w:rPr>
          <w:rFonts w:hint="eastAsia"/>
        </w:rPr>
        <w:t>1</w:t>
      </w:r>
      <w:r w:rsidRPr="0006279F">
        <w:rPr>
          <w:rFonts w:hint="eastAsia"/>
        </w:rPr>
        <w:t>小时。</w:t>
      </w:r>
      <w:r w:rsidRPr="0006279F">
        <w:rPr>
          <w:rFonts w:eastAsia="Times New Roman"/>
        </w:rPr>
        <w:br/>
        <w:t>Before completing the sampling and sending it to QC for inspection, the samples should be stored under the storage conditions specified in their quality standards. During the transfer of samples to QC, contamination, light exposure, and high temperature and humidity should be avoided, and the transfer time should not exceed 1 hour.</w:t>
      </w:r>
    </w:p>
    <w:p w:rsidR="00326EB5" w:rsidRPr="0006279F" w:rsidP="00201258" w14:paraId="1193A835" w14:textId="0A7DD120">
      <w:pPr>
        <w:pStyle w:val="3"/>
        <w:numPr>
          <w:numId w:val="1"/>
        </w:numPr>
        <w:tabs>
          <w:tab w:val="left" w:pos="1701"/>
        </w:tabs>
        <w:spacing w:after="240"/>
        <w:jc w:val="left"/>
      </w:pPr>
      <w:r w:rsidRPr="0006279F">
        <w:rPr>
          <w:rFonts w:hint="eastAsia"/>
        </w:rPr>
        <w:t>现场</w:t>
      </w:r>
      <w:r w:rsidRPr="0006279F">
        <w:rPr>
          <w:rFonts w:hint="eastAsia"/>
        </w:rPr>
        <w:t>QA</w:t>
      </w:r>
      <w:r w:rsidRPr="0006279F">
        <w:rPr>
          <w:rFonts w:hint="eastAsia"/>
        </w:rPr>
        <w:t>将样品送至</w:t>
      </w:r>
      <w:r w:rsidRPr="0006279F">
        <w:rPr>
          <w:rFonts w:hint="eastAsia"/>
        </w:rPr>
        <w:t>QC</w:t>
      </w:r>
      <w:r w:rsidRPr="0006279F">
        <w:rPr>
          <w:rFonts w:hint="eastAsia"/>
        </w:rPr>
        <w:t>样品管理室，将样品交给样品管理员，并填写样品台账，样品管理员按照</w:t>
      </w:r>
      <w:r w:rsidRPr="0006279F">
        <w:t>SMP-QC-004</w:t>
      </w:r>
      <w:r w:rsidRPr="0006279F">
        <w:rPr>
          <w:rFonts w:hint="eastAsia"/>
        </w:rPr>
        <w:t>《</w:t>
      </w:r>
      <w:r w:rsidRPr="0006279F">
        <w:t>QC</w:t>
      </w:r>
      <w:r w:rsidRPr="0006279F">
        <w:rPr>
          <w:rFonts w:hint="eastAsia"/>
        </w:rPr>
        <w:t>实验室样品管理》发放样品编号并填写相应《样品标签》中的内容。</w:t>
      </w:r>
      <w:r w:rsidRPr="0006279F">
        <w:rPr>
          <w:rFonts w:eastAsia="Times New Roman"/>
        </w:rPr>
        <w:br/>
        <w:t xml:space="preserve">On site QA will send the samples to the QC sample management room, hand them over to the sample administrator, and fill out the sample logbook. The sample administrator will issue sample numbers according to SMP-QC-004 </w:t>
      </w:r>
      <w:r w:rsidRPr="0006279F">
        <w:t>Sample Management in QC Laboratory</w:t>
      </w:r>
      <w:r w:rsidRPr="0006279F">
        <w:rPr>
          <w:rFonts w:eastAsia="Times New Roman"/>
        </w:rPr>
        <w:t xml:space="preserve"> and fill in the corresponding content in the </w:t>
      </w:r>
      <w:r w:rsidRPr="0006279F" w:rsidR="001B5C97">
        <w:rPr>
          <w:rFonts w:eastAsia="Times New Roman"/>
        </w:rPr>
        <w:t>Sample Identification</w:t>
      </w:r>
      <w:r w:rsidRPr="0006279F">
        <w:rPr>
          <w:rFonts w:eastAsia="Times New Roman"/>
        </w:rPr>
        <w:t>.</w:t>
      </w:r>
    </w:p>
    <w:p w:rsidR="00CA3C5C" w:rsidRPr="0006279F" w:rsidP="00CA3C5C" w14:paraId="458936A2" w14:textId="77777777">
      <w:pPr>
        <w:pStyle w:val="Normal0"/>
        <w:numPr>
          <w:ilvl w:val="0"/>
          <w:numId w:val="1"/>
        </w:numPr>
        <w:spacing w:after="240" w:afterLines="100"/>
        <w:rPr>
          <w:sz w:val="24"/>
        </w:rPr>
      </w:pPr>
      <w:r w:rsidRPr="0006279F">
        <w:rPr>
          <w:rFonts w:hint="eastAsia"/>
          <w:sz w:val="24"/>
        </w:rPr>
        <w:t>环境、健康与安全</w:t>
      </w:r>
      <w:r w:rsidRPr="0006279F">
        <w:rPr>
          <w:rFonts w:hint="eastAsia"/>
          <w:sz w:val="24"/>
        </w:rPr>
        <w:t>E</w:t>
      </w:r>
      <w:r w:rsidRPr="0006279F">
        <w:rPr>
          <w:sz w:val="24"/>
        </w:rPr>
        <w:t>NVIRONMENT, HEALTH&amp;SAFETY</w:t>
      </w:r>
      <w:r w:rsidRPr="0006279F">
        <w:rPr>
          <w:sz w:val="24"/>
        </w:rPr>
        <w:br/>
      </w:r>
      <w:r w:rsidRPr="0006279F">
        <w:rPr>
          <w:rFonts w:hint="eastAsia"/>
          <w:sz w:val="24"/>
        </w:rPr>
        <w:t>无</w:t>
      </w:r>
      <w:r w:rsidRPr="0006279F">
        <w:rPr>
          <w:rFonts w:eastAsia="Times New Roman"/>
          <w:sz w:val="24"/>
        </w:rPr>
        <w:br/>
        <w:t>None</w:t>
      </w:r>
    </w:p>
    <w:p w:rsidR="00CA3C5C" w:rsidRPr="0006279F" w:rsidP="00CA3C5C" w14:paraId="3C01BEC4" w14:textId="597ED88F">
      <w:pPr>
        <w:pStyle w:val="10"/>
        <w:numPr>
          <w:numId w:val="1"/>
        </w:numPr>
        <w:spacing w:after="240"/>
      </w:pPr>
      <w:r w:rsidRPr="0006279F">
        <w:rPr>
          <w:rFonts w:hint="eastAsia"/>
        </w:rPr>
        <w:t>附件</w:t>
      </w:r>
      <w:r w:rsidRPr="0006279F">
        <w:t>ATTACHMENTS</w:t>
      </w:r>
      <w:r w:rsidRPr="0006279F" w:rsidR="0068687B">
        <w:br/>
      </w:r>
      <w:r w:rsidRPr="0006279F" w:rsidR="0068687B">
        <w:rPr>
          <w:rFonts w:hint="eastAsia"/>
        </w:rPr>
        <w:t>无</w:t>
      </w:r>
      <w:r w:rsidRPr="0006279F" w:rsidR="0068687B">
        <w:br/>
      </w:r>
      <w:r w:rsidRPr="0006279F" w:rsidR="0068687B">
        <w:rPr>
          <w:rFonts w:hint="eastAsia"/>
        </w:rPr>
        <w:t>N</w:t>
      </w:r>
      <w:r w:rsidRPr="0006279F" w:rsidR="0068687B">
        <w:t>/</w:t>
      </w:r>
      <w:r w:rsidRPr="0006279F" w:rsidR="0068687B">
        <w:rPr>
          <w:rFonts w:hint="eastAsia"/>
        </w:rPr>
        <w:t>A</w:t>
      </w:r>
    </w:p>
    <w:p w:rsidR="00CA3C5C" w:rsidRPr="0006279F" w:rsidP="00CA3C5C" w14:paraId="136BE651" w14:textId="77777777">
      <w:pPr>
        <w:pStyle w:val="10"/>
        <w:numPr>
          <w:numId w:val="1"/>
        </w:numPr>
        <w:spacing w:before="240" w:beforeLines="100" w:after="240"/>
      </w:pPr>
      <w:r w:rsidRPr="0006279F">
        <w:t>修订历史</w:t>
      </w:r>
      <w:r w:rsidRPr="0006279F">
        <w:t>DOCUMENT REVISION HISTORY</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457"/>
        <w:gridCol w:w="1754"/>
        <w:gridCol w:w="5840"/>
      </w:tblGrid>
      <w:tr w14:paraId="7FF80BB2" w14:textId="77777777" w:rsidTr="00822B17">
        <w:tblPrEx>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Ex>
        <w:trPr>
          <w:trHeight w:val="397"/>
          <w:tblHeader/>
          <w:jc w:val="center"/>
        </w:trPr>
        <w:tc>
          <w:tcPr>
            <w:tcW w:w="805" w:type="pct"/>
            <w:vAlign w:val="center"/>
          </w:tcPr>
          <w:p w:rsidR="00CA3C5C" w:rsidRPr="0006279F" w:rsidP="00862288" w14:paraId="2D6F6175" w14:textId="77777777">
            <w:pPr>
              <w:pStyle w:val="Normal0"/>
              <w:jc w:val="center"/>
              <w:rPr>
                <w:sz w:val="24"/>
              </w:rPr>
            </w:pPr>
            <w:r w:rsidRPr="0006279F">
              <w:rPr>
                <w:sz w:val="24"/>
              </w:rPr>
              <w:t>版本号</w:t>
            </w:r>
          </w:p>
          <w:p w:rsidR="00CA3C5C" w:rsidRPr="0006279F" w:rsidP="00862288" w14:paraId="24FA898A" w14:textId="77777777">
            <w:pPr>
              <w:pStyle w:val="Normal0"/>
              <w:jc w:val="center"/>
              <w:rPr>
                <w:sz w:val="24"/>
              </w:rPr>
            </w:pPr>
            <w:r w:rsidRPr="0006279F">
              <w:rPr>
                <w:rFonts w:hint="eastAsia"/>
                <w:sz w:val="24"/>
              </w:rPr>
              <w:t>Version No.</w:t>
            </w:r>
          </w:p>
        </w:tc>
        <w:tc>
          <w:tcPr>
            <w:tcW w:w="969" w:type="pct"/>
            <w:vAlign w:val="center"/>
          </w:tcPr>
          <w:p w:rsidR="00CA3C5C" w:rsidRPr="0006279F" w:rsidP="00862288" w14:paraId="3A7B4A46" w14:textId="77777777">
            <w:pPr>
              <w:pStyle w:val="Normal0"/>
              <w:jc w:val="center"/>
              <w:rPr>
                <w:sz w:val="24"/>
              </w:rPr>
            </w:pPr>
            <w:r w:rsidRPr="0006279F">
              <w:rPr>
                <w:rFonts w:hint="eastAsia"/>
                <w:sz w:val="24"/>
              </w:rPr>
              <w:t>生效</w:t>
            </w:r>
            <w:r w:rsidRPr="0006279F">
              <w:rPr>
                <w:sz w:val="24"/>
              </w:rPr>
              <w:t>日期</w:t>
            </w:r>
          </w:p>
          <w:p w:rsidR="00CA3C5C" w:rsidRPr="0006279F" w:rsidP="00862288" w14:paraId="26DD42C9" w14:textId="77777777">
            <w:pPr>
              <w:pStyle w:val="Normal0"/>
              <w:jc w:val="center"/>
              <w:rPr>
                <w:sz w:val="24"/>
              </w:rPr>
            </w:pPr>
            <w:r w:rsidRPr="0006279F">
              <w:rPr>
                <w:rFonts w:hint="eastAsia"/>
                <w:sz w:val="24"/>
              </w:rPr>
              <w:t>Effective Date</w:t>
            </w:r>
          </w:p>
        </w:tc>
        <w:tc>
          <w:tcPr>
            <w:tcW w:w="3226" w:type="pct"/>
            <w:vAlign w:val="center"/>
          </w:tcPr>
          <w:p w:rsidR="00CA3C5C" w:rsidRPr="0006279F" w:rsidP="00862288" w14:paraId="1157ED51" w14:textId="77777777">
            <w:pPr>
              <w:pStyle w:val="Normal0"/>
              <w:jc w:val="center"/>
              <w:rPr>
                <w:sz w:val="24"/>
              </w:rPr>
            </w:pPr>
            <w:r w:rsidRPr="0006279F">
              <w:rPr>
                <w:sz w:val="24"/>
              </w:rPr>
              <w:t>修订内容</w:t>
            </w:r>
            <w:r w:rsidRPr="0006279F">
              <w:rPr>
                <w:rFonts w:hint="eastAsia"/>
                <w:sz w:val="24"/>
              </w:rPr>
              <w:t>简述</w:t>
            </w:r>
          </w:p>
          <w:p w:rsidR="00CA3C5C" w:rsidRPr="0006279F" w:rsidP="00862288" w14:paraId="7537FD29" w14:textId="77777777">
            <w:pPr>
              <w:pStyle w:val="Normal0"/>
              <w:jc w:val="center"/>
              <w:rPr>
                <w:sz w:val="24"/>
              </w:rPr>
            </w:pPr>
            <w:r w:rsidRPr="0006279F">
              <w:rPr>
                <w:sz w:val="24"/>
              </w:rPr>
              <w:t xml:space="preserve">Description of </w:t>
            </w:r>
            <w:r w:rsidRPr="0006279F">
              <w:rPr>
                <w:rFonts w:hint="eastAsia"/>
                <w:sz w:val="24"/>
              </w:rPr>
              <w:t>Revise</w:t>
            </w:r>
            <w:r w:rsidRPr="0006279F">
              <w:rPr>
                <w:sz w:val="24"/>
              </w:rPr>
              <w:t>d</w:t>
            </w:r>
            <w:r w:rsidRPr="0006279F">
              <w:rPr>
                <w:rFonts w:hint="eastAsia"/>
                <w:sz w:val="24"/>
              </w:rPr>
              <w:t xml:space="preserve"> Contents</w:t>
            </w:r>
            <w:r w:rsidRPr="0006279F">
              <w:rPr>
                <w:sz w:val="24"/>
              </w:rPr>
              <w:t xml:space="preserve"> </w:t>
            </w:r>
          </w:p>
        </w:tc>
      </w:tr>
      <w:tr w14:paraId="2002E9C3" w14:textId="77777777" w:rsidTr="00822B17">
        <w:tblPrEx>
          <w:tblW w:w="5000" w:type="pct"/>
          <w:jc w:val="center"/>
          <w:tblLook w:val="04A0"/>
        </w:tblPrEx>
        <w:trPr>
          <w:trHeight w:val="780"/>
          <w:jc w:val="center"/>
        </w:trPr>
        <w:tc>
          <w:tcPr>
            <w:tcW w:w="805" w:type="pct"/>
            <w:vAlign w:val="center"/>
          </w:tcPr>
          <w:p w:rsidR="00CA3C5C" w:rsidRPr="0006279F" w:rsidP="00862288" w14:paraId="61EFADE4" w14:textId="77777777">
            <w:pPr>
              <w:pStyle w:val="Normal0"/>
              <w:jc w:val="center"/>
              <w:rPr>
                <w:sz w:val="24"/>
              </w:rPr>
            </w:pPr>
            <w:r w:rsidRPr="0006279F">
              <w:rPr>
                <w:sz w:val="24"/>
              </w:rPr>
              <w:t>00</w:t>
            </w:r>
          </w:p>
        </w:tc>
        <w:tc>
          <w:tcPr>
            <w:tcW w:w="969" w:type="pct"/>
            <w:vAlign w:val="center"/>
          </w:tcPr>
          <w:p w:rsidR="00CA3C5C" w:rsidRPr="0006279F" w:rsidP="00862288" w14:paraId="054AE575" w14:textId="77777777">
            <w:pPr>
              <w:pStyle w:val="Normal0"/>
              <w:jc w:val="center"/>
              <w:rPr>
                <w:sz w:val="24"/>
                <w:shd w:val="clear" w:color="auto" w:fill="FFFFFF"/>
              </w:rPr>
            </w:pPr>
            <w:r w:rsidRPr="0006279F">
              <w:rPr>
                <w:rFonts w:hint="eastAsia"/>
                <w:sz w:val="24"/>
                <w:shd w:val="clear" w:color="auto" w:fill="FFFFFF"/>
              </w:rPr>
              <w:t>不适用</w:t>
            </w:r>
          </w:p>
          <w:p w:rsidR="001272F9" w:rsidRPr="0006279F" w:rsidP="00862288" w14:paraId="42EEDBDE" w14:textId="4EFE3E63">
            <w:pPr>
              <w:pStyle w:val="Normal0"/>
              <w:jc w:val="center"/>
              <w:rPr>
                <w:sz w:val="24"/>
              </w:rPr>
            </w:pPr>
            <w:r w:rsidRPr="0006279F">
              <w:rPr>
                <w:rFonts w:hint="eastAsia"/>
                <w:sz w:val="24"/>
                <w:shd w:val="clear" w:color="auto" w:fill="FFFFFF"/>
              </w:rPr>
              <w:t>N/A</w:t>
            </w:r>
          </w:p>
        </w:tc>
        <w:tc>
          <w:tcPr>
            <w:tcW w:w="3226" w:type="pct"/>
            <w:vAlign w:val="center"/>
          </w:tcPr>
          <w:p w:rsidR="00CA3C5C" w:rsidRPr="0006279F" w:rsidP="00862288" w14:paraId="6075BDE5" w14:textId="1919A1E1">
            <w:pPr>
              <w:pStyle w:val="Normal0"/>
              <w:widowControl/>
              <w:jc w:val="center"/>
              <w:rPr>
                <w:kern w:val="0"/>
                <w:sz w:val="24"/>
              </w:rPr>
            </w:pPr>
            <w:r w:rsidRPr="0006279F">
              <w:rPr>
                <w:rFonts w:hint="eastAsia"/>
                <w:sz w:val="24"/>
                <w:shd w:val="clear" w:color="auto" w:fill="FFFFFF"/>
              </w:rPr>
              <w:t>新文件</w:t>
            </w:r>
            <w:r w:rsidRPr="0006279F">
              <w:rPr>
                <w:rFonts w:eastAsia="Times New Roman"/>
                <w:sz w:val="24"/>
              </w:rPr>
              <w:br/>
            </w:r>
            <w:r w:rsidRPr="0006279F" w:rsidR="006E08EC">
              <w:rPr>
                <w:rFonts w:eastAsia="Times New Roman"/>
                <w:sz w:val="24"/>
                <w:shd w:val="clear" w:color="auto" w:fill="FFFFFF"/>
              </w:rPr>
              <w:t>New File</w:t>
            </w:r>
          </w:p>
        </w:tc>
      </w:tr>
    </w:tbl>
    <w:p w:rsidR="00CA3C5C" w:rsidRPr="0006279F" w:rsidP="00CA3C5C" w14:paraId="2ACEA313" w14:textId="77777777">
      <w:pPr>
        <w:pStyle w:val="Normal0"/>
        <w:numPr>
          <w:ilvl w:val="0"/>
          <w:numId w:val="1"/>
        </w:numPr>
        <w:spacing w:before="240" w:beforeLines="100" w:after="240" w:afterLines="100"/>
        <w:rPr>
          <w:sz w:val="24"/>
        </w:rPr>
      </w:pPr>
      <w:r w:rsidRPr="0006279F">
        <w:rPr>
          <w:rFonts w:hint="eastAsia"/>
          <w:sz w:val="24"/>
        </w:rPr>
        <w:t>培训要求</w:t>
      </w:r>
      <w:r w:rsidRPr="0006279F">
        <w:rPr>
          <w:rFonts w:hint="eastAsia"/>
          <w:sz w:val="24"/>
        </w:rPr>
        <w:t xml:space="preserve"> </w:t>
      </w:r>
      <w:r w:rsidRPr="0006279F">
        <w:rPr>
          <w:sz w:val="24"/>
        </w:rPr>
        <w:t>TRAINING REQUIREMENT</w:t>
      </w:r>
    </w:p>
    <w:tbl>
      <w:tblPr>
        <w:tblStyle w:val="TableNormal"/>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08"/>
        <w:gridCol w:w="2694"/>
        <w:gridCol w:w="1550"/>
        <w:gridCol w:w="1712"/>
        <w:gridCol w:w="1687"/>
      </w:tblGrid>
      <w:tr w14:paraId="0E09E9D3" w14:textId="77777777" w:rsidTr="00862288">
        <w:tblPrEx>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rPr>
          <w:cantSplit/>
          <w:trHeight w:val="540"/>
          <w:tblHeader/>
        </w:trPr>
        <w:tc>
          <w:tcPr>
            <w:tcW w:w="778" w:type="pct"/>
            <w:vMerge w:val="restart"/>
            <w:tcMar>
              <w:top w:w="0" w:type="dxa"/>
              <w:left w:w="108" w:type="dxa"/>
              <w:bottom w:w="0" w:type="dxa"/>
              <w:right w:w="108" w:type="dxa"/>
            </w:tcMar>
            <w:vAlign w:val="center"/>
            <w:hideMark/>
          </w:tcPr>
          <w:p w:rsidR="00CA3C5C" w:rsidRPr="0006279F" w:rsidP="00862288" w14:paraId="5452E372" w14:textId="77777777">
            <w:pPr>
              <w:pStyle w:val="a1"/>
              <w:rPr>
                <w:rFonts w:eastAsia="宋体" w:cs="Times New Roman"/>
                <w:b w:val="0"/>
                <w:bCs/>
                <w:sz w:val="24"/>
                <w:szCs w:val="24"/>
              </w:rPr>
            </w:pPr>
            <w:bookmarkStart w:id="13" w:name="NT_SRC_0000000172"/>
            <w:r w:rsidRPr="0006279F">
              <w:rPr>
                <w:rFonts w:eastAsia="宋体" w:cs="Times New Roman"/>
                <w:b w:val="0"/>
                <w:bCs/>
                <w:sz w:val="24"/>
                <w:szCs w:val="24"/>
                <w:shd w:val="clear" w:color="auto" w:fill="FFFFFF"/>
              </w:rPr>
              <w:t>部门</w:t>
            </w:r>
            <w:bookmarkEnd w:id="13"/>
            <w:r w:rsidRPr="0006279F">
              <w:rPr>
                <w:rFonts w:eastAsia="Times New Roman" w:cs="Times New Roman"/>
                <w:b w:val="0"/>
                <w:bCs/>
                <w:sz w:val="24"/>
              </w:rPr>
              <w:br/>
              <w:t>Department</w:t>
            </w:r>
          </w:p>
        </w:tc>
        <w:tc>
          <w:tcPr>
            <w:tcW w:w="1488" w:type="pct"/>
            <w:vMerge w:val="restart"/>
            <w:tcMar>
              <w:top w:w="0" w:type="dxa"/>
              <w:left w:w="108" w:type="dxa"/>
              <w:bottom w:w="0" w:type="dxa"/>
              <w:right w:w="108" w:type="dxa"/>
            </w:tcMar>
            <w:vAlign w:val="center"/>
            <w:hideMark/>
          </w:tcPr>
          <w:p w:rsidR="00CA3C5C" w:rsidRPr="0006279F" w:rsidP="00862288" w14:paraId="0AEC7A90" w14:textId="77777777">
            <w:pPr>
              <w:pStyle w:val="a1"/>
              <w:rPr>
                <w:rFonts w:eastAsia="宋体" w:cs="Times New Roman"/>
                <w:b w:val="0"/>
                <w:bCs/>
                <w:sz w:val="24"/>
                <w:szCs w:val="24"/>
              </w:rPr>
            </w:pPr>
            <w:bookmarkStart w:id="14" w:name="NT_SRC_0000000174"/>
            <w:r w:rsidRPr="0006279F">
              <w:rPr>
                <w:rFonts w:eastAsia="宋体" w:cs="Times New Roman"/>
                <w:b w:val="0"/>
                <w:bCs/>
                <w:sz w:val="24"/>
                <w:szCs w:val="24"/>
                <w:shd w:val="clear" w:color="auto" w:fill="FFFFFF"/>
              </w:rPr>
              <w:t>需培训的岗位</w:t>
            </w:r>
          </w:p>
          <w:p w:rsidR="00CA3C5C" w:rsidRPr="0006279F" w:rsidP="00862288" w14:paraId="2D269A3D" w14:textId="77777777">
            <w:pPr>
              <w:pStyle w:val="a1"/>
              <w:rPr>
                <w:rFonts w:eastAsia="宋体" w:cs="Times New Roman"/>
                <w:b w:val="0"/>
                <w:bCs/>
                <w:sz w:val="24"/>
                <w:szCs w:val="24"/>
              </w:rPr>
            </w:pPr>
            <w:r w:rsidRPr="0006279F">
              <w:rPr>
                <w:rFonts w:eastAsia="宋体" w:cs="Times New Roman"/>
                <w:b w:val="0"/>
                <w:bCs/>
                <w:sz w:val="24"/>
                <w:szCs w:val="24"/>
              </w:rPr>
              <w:t>Post</w:t>
            </w:r>
            <w:bookmarkStart w:id="15" w:name="NT_SRC_0000000176"/>
            <w:r w:rsidRPr="0006279F">
              <w:rPr>
                <w:rFonts w:eastAsia="宋体" w:cs="Times New Roman"/>
                <w:b w:val="0"/>
                <w:bCs/>
                <w:sz w:val="24"/>
                <w:szCs w:val="24"/>
                <w:shd w:val="clear" w:color="auto" w:fill="FFFFFF"/>
              </w:rPr>
              <w:t xml:space="preserve"> </w:t>
            </w:r>
            <w:r w:rsidRPr="0006279F">
              <w:rPr>
                <w:rFonts w:eastAsia="宋体" w:cs="Times New Roman" w:hint="eastAsia"/>
                <w:b w:val="0"/>
                <w:bCs/>
                <w:sz w:val="24"/>
                <w:szCs w:val="24"/>
                <w:shd w:val="clear" w:color="auto" w:fill="FFFFFF"/>
              </w:rPr>
              <w:t>t</w:t>
            </w:r>
            <w:r w:rsidRPr="0006279F">
              <w:rPr>
                <w:rFonts w:eastAsia="宋体" w:cs="Times New Roman"/>
                <w:b w:val="0"/>
                <w:bCs/>
                <w:sz w:val="24"/>
                <w:szCs w:val="24"/>
                <w:shd w:val="clear" w:color="auto" w:fill="FFFFFF"/>
              </w:rPr>
              <w:t xml:space="preserve">o </w:t>
            </w:r>
            <w:r w:rsidRPr="0006279F">
              <w:rPr>
                <w:rFonts w:eastAsia="宋体" w:cs="Times New Roman" w:hint="eastAsia"/>
                <w:b w:val="0"/>
                <w:bCs/>
                <w:sz w:val="24"/>
                <w:szCs w:val="24"/>
                <w:shd w:val="clear" w:color="auto" w:fill="FFFFFF"/>
              </w:rPr>
              <w:t>b</w:t>
            </w:r>
            <w:r w:rsidRPr="0006279F">
              <w:rPr>
                <w:rFonts w:eastAsia="宋体" w:cs="Times New Roman"/>
                <w:b w:val="0"/>
                <w:bCs/>
                <w:sz w:val="24"/>
                <w:szCs w:val="24"/>
                <w:shd w:val="clear" w:color="auto" w:fill="FFFFFF"/>
              </w:rPr>
              <w:t>e Trained</w:t>
            </w:r>
            <w:bookmarkEnd w:id="14"/>
            <w:bookmarkEnd w:id="15"/>
          </w:p>
        </w:tc>
        <w:tc>
          <w:tcPr>
            <w:tcW w:w="2734" w:type="pct"/>
            <w:gridSpan w:val="3"/>
            <w:vAlign w:val="center"/>
          </w:tcPr>
          <w:p w:rsidR="00CA3C5C" w:rsidRPr="0006279F" w:rsidP="00862288" w14:paraId="3CF7EB47" w14:textId="77777777">
            <w:pPr>
              <w:pStyle w:val="a1"/>
              <w:rPr>
                <w:rFonts w:eastAsia="宋体" w:cs="Times New Roman"/>
                <w:b w:val="0"/>
                <w:bCs/>
                <w:sz w:val="24"/>
                <w:szCs w:val="24"/>
              </w:rPr>
            </w:pPr>
            <w:bookmarkStart w:id="16" w:name="NT_SRC_0000000177"/>
            <w:r w:rsidRPr="0006279F">
              <w:rPr>
                <w:rFonts w:eastAsia="宋体" w:cs="Times New Roman"/>
                <w:b w:val="0"/>
                <w:bCs/>
                <w:sz w:val="24"/>
                <w:szCs w:val="24"/>
                <w:shd w:val="clear" w:color="auto" w:fill="FFFFFF"/>
              </w:rPr>
              <w:t>培训要求</w:t>
            </w:r>
            <w:bookmarkEnd w:id="16"/>
            <w:r w:rsidRPr="0006279F">
              <w:rPr>
                <w:rFonts w:eastAsia="Times New Roman" w:cs="Times New Roman"/>
                <w:b w:val="0"/>
                <w:bCs/>
                <w:sz w:val="24"/>
              </w:rPr>
              <w:br/>
              <w:t>Training Requirements</w:t>
            </w:r>
          </w:p>
        </w:tc>
      </w:tr>
      <w:tr w14:paraId="699C273C" w14:textId="77777777" w:rsidTr="00862288">
        <w:tblPrEx>
          <w:tblW w:w="5000" w:type="pct"/>
          <w:tblCellMar>
            <w:left w:w="0" w:type="dxa"/>
            <w:right w:w="0" w:type="dxa"/>
          </w:tblCellMar>
          <w:tblLook w:val="04A0"/>
        </w:tblPrEx>
        <w:trPr>
          <w:cantSplit/>
          <w:trHeight w:val="690"/>
          <w:tblHeader/>
        </w:trPr>
        <w:tc>
          <w:tcPr>
            <w:tcW w:w="778" w:type="pct"/>
            <w:vMerge/>
            <w:tcMar>
              <w:top w:w="0" w:type="dxa"/>
              <w:left w:w="108" w:type="dxa"/>
              <w:bottom w:w="0" w:type="dxa"/>
              <w:right w:w="108" w:type="dxa"/>
            </w:tcMar>
            <w:vAlign w:val="center"/>
            <w:hideMark/>
          </w:tcPr>
          <w:p w:rsidR="00CA3C5C" w:rsidRPr="0006279F" w:rsidP="00862288" w14:paraId="2D5BEDC3" w14:textId="77777777">
            <w:pPr>
              <w:pStyle w:val="a1"/>
              <w:rPr>
                <w:rFonts w:eastAsia="宋体" w:cs="Times New Roman"/>
                <w:b w:val="0"/>
                <w:bCs/>
                <w:sz w:val="24"/>
                <w:szCs w:val="24"/>
              </w:rPr>
            </w:pPr>
          </w:p>
        </w:tc>
        <w:tc>
          <w:tcPr>
            <w:tcW w:w="1488" w:type="pct"/>
            <w:vMerge/>
            <w:tcMar>
              <w:top w:w="0" w:type="dxa"/>
              <w:left w:w="108" w:type="dxa"/>
              <w:bottom w:w="0" w:type="dxa"/>
              <w:right w:w="108" w:type="dxa"/>
            </w:tcMar>
            <w:vAlign w:val="center"/>
            <w:hideMark/>
          </w:tcPr>
          <w:p w:rsidR="00CA3C5C" w:rsidRPr="0006279F" w:rsidP="00862288" w14:paraId="3ABD2ED4" w14:textId="77777777">
            <w:pPr>
              <w:pStyle w:val="a1"/>
              <w:rPr>
                <w:rFonts w:eastAsia="宋体" w:cs="Times New Roman"/>
                <w:b w:val="0"/>
                <w:bCs/>
                <w:sz w:val="24"/>
                <w:szCs w:val="24"/>
              </w:rPr>
            </w:pPr>
          </w:p>
        </w:tc>
        <w:tc>
          <w:tcPr>
            <w:tcW w:w="856" w:type="pct"/>
            <w:vAlign w:val="center"/>
          </w:tcPr>
          <w:p w:rsidR="00CA3C5C" w:rsidRPr="0006279F" w:rsidP="00862288" w14:paraId="06BA3E74" w14:textId="77777777">
            <w:pPr>
              <w:pStyle w:val="a1"/>
              <w:rPr>
                <w:rFonts w:eastAsia="宋体" w:cs="Times New Roman"/>
                <w:b w:val="0"/>
                <w:bCs/>
                <w:sz w:val="24"/>
                <w:szCs w:val="24"/>
              </w:rPr>
            </w:pPr>
            <w:bookmarkStart w:id="17" w:name="NT_SRC_0000000182"/>
            <w:r w:rsidRPr="0006279F">
              <w:rPr>
                <w:rFonts w:eastAsia="宋体" w:cs="Times New Roman"/>
                <w:b w:val="0"/>
                <w:bCs/>
                <w:sz w:val="24"/>
                <w:szCs w:val="24"/>
                <w:shd w:val="clear" w:color="auto" w:fill="FFFFFF"/>
              </w:rPr>
              <w:t>熟练操作</w:t>
            </w:r>
            <w:bookmarkEnd w:id="17"/>
            <w:r w:rsidRPr="0006279F">
              <w:rPr>
                <w:rFonts w:eastAsia="Times New Roman" w:cs="Times New Roman"/>
                <w:b w:val="0"/>
                <w:bCs/>
                <w:sz w:val="24"/>
              </w:rPr>
              <w:br/>
              <w:t>Skilled Operation</w:t>
            </w:r>
          </w:p>
        </w:tc>
        <w:tc>
          <w:tcPr>
            <w:tcW w:w="946" w:type="pct"/>
            <w:vAlign w:val="center"/>
          </w:tcPr>
          <w:p w:rsidR="00CA3C5C" w:rsidRPr="0006279F" w:rsidP="00862288" w14:paraId="31FAADE6" w14:textId="77777777">
            <w:pPr>
              <w:pStyle w:val="a1"/>
              <w:rPr>
                <w:rFonts w:eastAsia="宋体" w:cs="Times New Roman"/>
                <w:b w:val="0"/>
                <w:bCs/>
                <w:sz w:val="24"/>
                <w:szCs w:val="24"/>
              </w:rPr>
            </w:pPr>
            <w:r w:rsidRPr="0006279F">
              <w:rPr>
                <w:rFonts w:eastAsia="宋体" w:cs="Times New Roman"/>
                <w:b w:val="0"/>
                <w:bCs/>
                <w:sz w:val="24"/>
                <w:szCs w:val="24"/>
                <w:shd w:val="clear" w:color="auto" w:fill="FFFFFF"/>
              </w:rPr>
              <w:t>全面掌握</w:t>
            </w:r>
            <w:bookmarkStart w:id="18" w:name="NT_SRC_0000000185"/>
            <w:bookmarkStart w:id="19" w:name="NT_SRC_0000000184"/>
            <w:r w:rsidRPr="0006279F">
              <w:rPr>
                <w:rFonts w:eastAsia="Times New Roman" w:cs="Times New Roman"/>
                <w:b w:val="0"/>
                <w:bCs/>
                <w:sz w:val="24"/>
              </w:rPr>
              <w:t>Thorough Understanding</w:t>
            </w:r>
            <w:bookmarkEnd w:id="18"/>
            <w:bookmarkEnd w:id="19"/>
          </w:p>
        </w:tc>
        <w:tc>
          <w:tcPr>
            <w:tcW w:w="932" w:type="pct"/>
            <w:vAlign w:val="center"/>
          </w:tcPr>
          <w:p w:rsidR="00CA3C5C" w:rsidRPr="0006279F" w:rsidP="00862288" w14:paraId="78EE2E83" w14:textId="77777777">
            <w:pPr>
              <w:pStyle w:val="a1"/>
              <w:rPr>
                <w:rFonts w:eastAsia="宋体" w:cs="Times New Roman"/>
                <w:b w:val="0"/>
                <w:bCs/>
                <w:sz w:val="24"/>
                <w:szCs w:val="24"/>
              </w:rPr>
            </w:pPr>
            <w:bookmarkStart w:id="20" w:name="NT_SRC_0000000186"/>
            <w:r w:rsidRPr="0006279F">
              <w:rPr>
                <w:rFonts w:eastAsia="宋体" w:cs="Times New Roman"/>
                <w:b w:val="0"/>
                <w:bCs/>
                <w:sz w:val="24"/>
                <w:szCs w:val="24"/>
                <w:shd w:val="clear" w:color="auto" w:fill="FFFFFF"/>
              </w:rPr>
              <w:t>了解</w:t>
            </w:r>
          </w:p>
          <w:p w:rsidR="00CA3C5C" w:rsidRPr="0006279F" w:rsidP="00862288" w14:paraId="647B4F40" w14:textId="77777777">
            <w:pPr>
              <w:pStyle w:val="a1"/>
              <w:rPr>
                <w:rFonts w:eastAsia="宋体" w:cs="Times New Roman"/>
                <w:b w:val="0"/>
                <w:bCs/>
                <w:sz w:val="24"/>
                <w:szCs w:val="24"/>
              </w:rPr>
            </w:pPr>
            <w:bookmarkStart w:id="21" w:name="NT_SRC_0000000187"/>
            <w:r w:rsidRPr="0006279F">
              <w:rPr>
                <w:rFonts w:eastAsia="宋体" w:cs="Times New Roman"/>
                <w:b w:val="0"/>
                <w:bCs/>
                <w:sz w:val="24"/>
                <w:szCs w:val="24"/>
                <w:shd w:val="clear" w:color="auto" w:fill="FFFFFF"/>
              </w:rPr>
              <w:t>Basic Knowledge</w:t>
            </w:r>
            <w:bookmarkEnd w:id="20"/>
            <w:bookmarkEnd w:id="21"/>
          </w:p>
        </w:tc>
      </w:tr>
      <w:tr w14:paraId="7B4C98E8" w14:textId="77777777" w:rsidTr="00862288">
        <w:tblPrEx>
          <w:tblW w:w="5000" w:type="pct"/>
          <w:tblCellMar>
            <w:left w:w="0" w:type="dxa"/>
            <w:right w:w="0" w:type="dxa"/>
          </w:tblCellMar>
          <w:tblLook w:val="04A0"/>
        </w:tblPrEx>
        <w:trPr>
          <w:cantSplit/>
          <w:trHeight w:val="625"/>
        </w:trPr>
        <w:tc>
          <w:tcPr>
            <w:tcW w:w="778" w:type="pct"/>
            <w:tcMar>
              <w:top w:w="0" w:type="dxa"/>
              <w:left w:w="108" w:type="dxa"/>
              <w:bottom w:w="0" w:type="dxa"/>
              <w:right w:w="108" w:type="dxa"/>
            </w:tcMar>
            <w:vAlign w:val="center"/>
            <w:hideMark/>
          </w:tcPr>
          <w:p w:rsidR="00CA3C5C" w:rsidRPr="0006279F" w:rsidP="00862288" w14:paraId="269A1299" w14:textId="77777777">
            <w:pPr>
              <w:pStyle w:val="a1"/>
              <w:rPr>
                <w:rFonts w:eastAsia="宋体" w:cs="Times New Roman"/>
                <w:b w:val="0"/>
                <w:bCs/>
                <w:sz w:val="24"/>
                <w:szCs w:val="24"/>
                <w:shd w:val="clear" w:color="auto" w:fill="FFFFFF"/>
              </w:rPr>
            </w:pPr>
            <w:bookmarkStart w:id="22" w:name="NT_SRC_0000000189"/>
            <w:r w:rsidRPr="0006279F">
              <w:rPr>
                <w:rFonts w:eastAsia="宋体" w:cs="Times New Roman"/>
                <w:b w:val="0"/>
                <w:bCs/>
                <w:sz w:val="24"/>
                <w:szCs w:val="24"/>
                <w:shd w:val="clear" w:color="auto" w:fill="FFFFFF"/>
              </w:rPr>
              <w:t>QA</w:t>
            </w:r>
            <w:bookmarkEnd w:id="22"/>
          </w:p>
        </w:tc>
        <w:tc>
          <w:tcPr>
            <w:tcW w:w="1488" w:type="pct"/>
            <w:tcMar>
              <w:top w:w="0" w:type="dxa"/>
              <w:left w:w="108" w:type="dxa"/>
              <w:bottom w:w="0" w:type="dxa"/>
              <w:right w:w="108" w:type="dxa"/>
            </w:tcMar>
            <w:vAlign w:val="center"/>
          </w:tcPr>
          <w:p w:rsidR="00CA3C5C" w:rsidRPr="0006279F" w:rsidP="00862288" w14:paraId="7FC83D56" w14:textId="10FDE57E">
            <w:pPr>
              <w:pStyle w:val="a1"/>
              <w:rPr>
                <w:rFonts w:eastAsia="宋体" w:cs="Times New Roman"/>
                <w:b w:val="0"/>
                <w:bCs/>
                <w:sz w:val="24"/>
                <w:szCs w:val="24"/>
              </w:rPr>
            </w:pPr>
            <w:r w:rsidRPr="0006279F">
              <w:rPr>
                <w:rFonts w:ascii="宋体" w:eastAsia="宋体" w:hAnsi="宋体" w:cs="宋体" w:hint="eastAsia"/>
                <w:b w:val="0"/>
                <w:bCs/>
                <w:sz w:val="24"/>
              </w:rPr>
              <w:t>现场</w:t>
            </w:r>
            <w:r w:rsidRPr="0006279F">
              <w:rPr>
                <w:rFonts w:eastAsia="宋体" w:cs="Times New Roman"/>
                <w:b w:val="0"/>
                <w:bCs/>
                <w:sz w:val="24"/>
              </w:rPr>
              <w:t>QA</w:t>
            </w:r>
            <w:r w:rsidRPr="0006279F">
              <w:rPr>
                <w:rFonts w:eastAsia="Times New Roman" w:cs="Times New Roman"/>
                <w:b w:val="0"/>
                <w:bCs/>
                <w:sz w:val="24"/>
              </w:rPr>
              <w:br/>
            </w:r>
            <w:r w:rsidRPr="0006279F">
              <w:rPr>
                <w:rFonts w:eastAsia="宋体" w:cs="Times New Roman" w:hint="eastAsia"/>
                <w:b w:val="0"/>
                <w:bCs/>
                <w:sz w:val="24"/>
              </w:rPr>
              <w:t>QA</w:t>
            </w:r>
            <w:r w:rsidRPr="0006279F">
              <w:rPr>
                <w:rFonts w:eastAsia="宋体" w:cs="Times New Roman"/>
                <w:b w:val="0"/>
                <w:bCs/>
                <w:sz w:val="24"/>
              </w:rPr>
              <w:t xml:space="preserve"> </w:t>
            </w:r>
            <w:r w:rsidRPr="0006279F">
              <w:rPr>
                <w:rFonts w:eastAsia="宋体" w:cs="Times New Roman" w:hint="eastAsia"/>
                <w:b w:val="0"/>
                <w:bCs/>
                <w:sz w:val="24"/>
              </w:rPr>
              <w:t>On-site</w:t>
            </w:r>
          </w:p>
        </w:tc>
        <w:tc>
          <w:tcPr>
            <w:tcW w:w="856" w:type="pct"/>
            <w:vAlign w:val="center"/>
          </w:tcPr>
          <w:p w:rsidR="00CA3C5C" w:rsidRPr="0006279F" w:rsidP="00862288" w14:paraId="3FE61091" w14:textId="77777777">
            <w:pPr>
              <w:pStyle w:val="a1"/>
              <w:rPr>
                <w:rFonts w:eastAsia="宋体" w:cs="Times New Roman"/>
                <w:b w:val="0"/>
                <w:sz w:val="24"/>
                <w:szCs w:val="24"/>
              </w:rPr>
            </w:pPr>
            <w:bookmarkStart w:id="23" w:name="NT_SRC_0000000191"/>
            <w:r w:rsidRPr="0006279F">
              <w:rPr>
                <w:rFonts w:ascii="宋体" w:eastAsia="宋体" w:hAnsi="宋体" w:cs="Times New Roman" w:hint="eastAsia"/>
                <w:b w:val="0"/>
                <w:sz w:val="24"/>
                <w:szCs w:val="24"/>
                <w:shd w:val="clear" w:color="auto" w:fill="FFFFFF"/>
              </w:rPr>
              <w:t>□</w:t>
            </w:r>
            <w:bookmarkEnd w:id="23"/>
          </w:p>
        </w:tc>
        <w:tc>
          <w:tcPr>
            <w:tcW w:w="946" w:type="pct"/>
            <w:vAlign w:val="center"/>
          </w:tcPr>
          <w:p w:rsidR="00CA3C5C" w:rsidRPr="0006279F" w:rsidP="00862288" w14:paraId="78165C1F" w14:textId="77777777">
            <w:pPr>
              <w:pStyle w:val="a1"/>
              <w:rPr>
                <w:rFonts w:asciiTheme="minorEastAsia" w:hAnsiTheme="minorEastAsia" w:cs="Times New Roman"/>
                <w:b w:val="0"/>
                <w:sz w:val="24"/>
                <w:szCs w:val="24"/>
              </w:rPr>
            </w:pPr>
            <w:r w:rsidRPr="0006279F">
              <w:rPr>
                <w:rFonts w:ascii="Wingdings 2" w:hAnsi="Wingdings 2" w:cs="Times New Roman"/>
                <w:b w:val="0"/>
                <w:sz w:val="24"/>
                <w:szCs w:val="24"/>
              </w:rPr>
              <w:sym w:font="Wingdings 2" w:char="F052"/>
            </w:r>
          </w:p>
        </w:tc>
        <w:tc>
          <w:tcPr>
            <w:tcW w:w="932" w:type="pct"/>
            <w:vAlign w:val="center"/>
          </w:tcPr>
          <w:p w:rsidR="00CA3C5C" w:rsidRPr="0006279F" w:rsidP="00862288" w14:paraId="0CD8FC1D" w14:textId="77777777">
            <w:pPr>
              <w:pStyle w:val="Normal0"/>
              <w:jc w:val="center"/>
              <w:rPr>
                <w:rFonts w:asciiTheme="minorEastAsia" w:eastAsiaTheme="minorEastAsia" w:hAnsiTheme="minorEastAsia"/>
                <w:b/>
              </w:rPr>
            </w:pPr>
            <w:r w:rsidRPr="0006279F">
              <w:rPr>
                <w:rFonts w:asciiTheme="minorEastAsia" w:eastAsiaTheme="minorEastAsia" w:hAnsiTheme="minorEastAsia" w:hint="eastAsia"/>
                <w:sz w:val="24"/>
                <w:shd w:val="clear" w:color="auto" w:fill="FFFFFF"/>
              </w:rPr>
              <w:t>□</w:t>
            </w:r>
          </w:p>
        </w:tc>
      </w:tr>
      <w:tr w14:paraId="0E9FFD0B" w14:textId="77777777" w:rsidTr="00862288">
        <w:tblPrEx>
          <w:tblW w:w="5000" w:type="pct"/>
          <w:tblCellMar>
            <w:left w:w="0" w:type="dxa"/>
            <w:right w:w="0" w:type="dxa"/>
          </w:tblCellMar>
          <w:tblLook w:val="04A0"/>
        </w:tblPrEx>
        <w:trPr>
          <w:cantSplit/>
          <w:trHeight w:val="625"/>
        </w:trPr>
        <w:tc>
          <w:tcPr>
            <w:tcW w:w="778" w:type="pct"/>
            <w:tcMar>
              <w:top w:w="0" w:type="dxa"/>
              <w:left w:w="108" w:type="dxa"/>
              <w:bottom w:w="0" w:type="dxa"/>
              <w:right w:w="108" w:type="dxa"/>
            </w:tcMar>
            <w:vAlign w:val="center"/>
          </w:tcPr>
          <w:p w:rsidR="00072213" w:rsidRPr="0006279F" w:rsidP="00072213" w14:paraId="19EAC785" w14:textId="7086E45F">
            <w:pPr>
              <w:pStyle w:val="a1"/>
              <w:rPr>
                <w:rFonts w:eastAsia="宋体" w:cs="Times New Roman"/>
                <w:b w:val="0"/>
                <w:bCs/>
                <w:sz w:val="24"/>
                <w:szCs w:val="24"/>
                <w:shd w:val="clear" w:color="auto" w:fill="FFFFFF"/>
              </w:rPr>
            </w:pPr>
            <w:r w:rsidRPr="0006279F">
              <w:rPr>
                <w:rFonts w:eastAsia="宋体" w:cs="Times New Roman" w:hint="eastAsia"/>
                <w:b w:val="0"/>
                <w:bCs/>
                <w:sz w:val="24"/>
                <w:szCs w:val="24"/>
                <w:shd w:val="clear" w:color="auto" w:fill="FFFFFF"/>
              </w:rPr>
              <w:t>Q</w:t>
            </w:r>
            <w:r w:rsidRPr="0006279F">
              <w:rPr>
                <w:rFonts w:eastAsia="宋体" w:cs="Times New Roman"/>
                <w:b w:val="0"/>
                <w:bCs/>
                <w:sz w:val="24"/>
                <w:szCs w:val="24"/>
                <w:shd w:val="clear" w:color="auto" w:fill="FFFFFF"/>
              </w:rPr>
              <w:t>C</w:t>
            </w:r>
          </w:p>
        </w:tc>
        <w:tc>
          <w:tcPr>
            <w:tcW w:w="1488" w:type="pct"/>
            <w:tcMar>
              <w:top w:w="0" w:type="dxa"/>
              <w:left w:w="108" w:type="dxa"/>
              <w:bottom w:w="0" w:type="dxa"/>
              <w:right w:w="108" w:type="dxa"/>
            </w:tcMar>
            <w:vAlign w:val="center"/>
          </w:tcPr>
          <w:p w:rsidR="00072213" w:rsidRPr="0006279F" w:rsidP="00072213" w14:paraId="5EF4EDC4" w14:textId="66E8397C">
            <w:pPr>
              <w:pStyle w:val="a1"/>
              <w:rPr>
                <w:rFonts w:eastAsia="宋体" w:cs="Times New Roman"/>
                <w:b w:val="0"/>
                <w:bCs/>
                <w:sz w:val="24"/>
              </w:rPr>
            </w:pPr>
            <w:r w:rsidRPr="0006279F">
              <w:rPr>
                <w:rFonts w:eastAsia="宋体" w:cs="Times New Roman"/>
                <w:b w:val="0"/>
                <w:bCs/>
                <w:sz w:val="24"/>
              </w:rPr>
              <w:t>主管及以上</w:t>
            </w:r>
            <w:r w:rsidRPr="0006279F">
              <w:rPr>
                <w:rFonts w:eastAsia="宋体" w:cs="Times New Roman"/>
                <w:b w:val="0"/>
                <w:bCs/>
                <w:sz w:val="24"/>
              </w:rPr>
              <w:br/>
              <w:t>Supervisor and above</w:t>
            </w:r>
          </w:p>
        </w:tc>
        <w:tc>
          <w:tcPr>
            <w:tcW w:w="856" w:type="pct"/>
            <w:vAlign w:val="center"/>
          </w:tcPr>
          <w:p w:rsidR="00072213" w:rsidRPr="0006279F" w:rsidP="00072213" w14:paraId="755257BC" w14:textId="1A33BFE3">
            <w:pPr>
              <w:pStyle w:val="a1"/>
              <w:rPr>
                <w:rFonts w:ascii="宋体" w:eastAsia="宋体" w:hAnsi="宋体" w:cs="Times New Roman"/>
                <w:b w:val="0"/>
                <w:sz w:val="24"/>
                <w:szCs w:val="24"/>
                <w:shd w:val="clear" w:color="auto" w:fill="FFFFFF"/>
              </w:rPr>
            </w:pPr>
            <w:r w:rsidRPr="0006279F">
              <w:rPr>
                <w:rFonts w:ascii="宋体" w:eastAsia="宋体" w:hAnsi="宋体" w:cs="Times New Roman" w:hint="eastAsia"/>
                <w:b w:val="0"/>
                <w:sz w:val="24"/>
                <w:szCs w:val="24"/>
                <w:shd w:val="clear" w:color="auto" w:fill="FFFFFF"/>
              </w:rPr>
              <w:t>□</w:t>
            </w:r>
          </w:p>
        </w:tc>
        <w:tc>
          <w:tcPr>
            <w:tcW w:w="946" w:type="pct"/>
            <w:vAlign w:val="center"/>
          </w:tcPr>
          <w:p w:rsidR="00072213" w:rsidRPr="0006279F" w:rsidP="00072213" w14:paraId="72FCB7D6" w14:textId="0FB87305">
            <w:pPr>
              <w:pStyle w:val="a1"/>
              <w:rPr>
                <w:rFonts w:asciiTheme="minorEastAsia" w:hAnsiTheme="minorEastAsia" w:cs="Times New Roman"/>
                <w:b w:val="0"/>
                <w:sz w:val="24"/>
                <w:szCs w:val="24"/>
              </w:rPr>
            </w:pPr>
            <w:r w:rsidRPr="0006279F">
              <w:rPr>
                <w:rFonts w:ascii="宋体" w:eastAsia="宋体" w:hAnsi="宋体" w:cs="Times New Roman" w:hint="eastAsia"/>
                <w:b w:val="0"/>
                <w:sz w:val="24"/>
                <w:szCs w:val="24"/>
                <w:shd w:val="clear" w:color="auto" w:fill="FFFFFF"/>
              </w:rPr>
              <w:t>□</w:t>
            </w:r>
          </w:p>
        </w:tc>
        <w:tc>
          <w:tcPr>
            <w:tcW w:w="932" w:type="pct"/>
            <w:vAlign w:val="center"/>
          </w:tcPr>
          <w:p w:rsidR="00072213" w:rsidRPr="0006279F" w:rsidP="00072213" w14:paraId="64258659" w14:textId="10A1CC07">
            <w:pPr>
              <w:pStyle w:val="Normal0"/>
              <w:jc w:val="center"/>
              <w:rPr>
                <w:rFonts w:asciiTheme="minorEastAsia" w:eastAsiaTheme="minorEastAsia" w:hAnsiTheme="minorEastAsia"/>
                <w:sz w:val="24"/>
                <w:shd w:val="clear" w:color="auto" w:fill="FFFFFF"/>
              </w:rPr>
            </w:pPr>
            <w:r w:rsidRPr="0006279F">
              <w:rPr>
                <w:rFonts w:ascii="Wingdings 2" w:hAnsi="Wingdings 2"/>
                <w:sz w:val="24"/>
              </w:rPr>
              <w:sym w:font="Wingdings 2" w:char="F052"/>
            </w:r>
          </w:p>
        </w:tc>
      </w:tr>
      <w:bookmarkEnd w:id="6"/>
    </w:tbl>
    <w:p w:rsidR="00A90703" w:rsidRPr="00323A75" w:rsidP="00323A75" w14:paraId="4D859C21" w14:textId="16FE8B90">
      <w:pPr>
        <w:pStyle w:val="Normal0"/>
      </w:pPr>
    </w:p>
    <w:sectPr w:rsidSect="0068687B">
      <w:headerReference w:type="default" r:id="rId16"/>
      <w:footerReference w:type="default" r:id="rId17"/>
      <w:pgSz w:w="11907" w:h="16840" w:code="9"/>
      <w:pgMar w:top="1985" w:right="1418" w:bottom="851" w:left="1418" w:header="851" w:footer="567" w:gutter="0"/>
      <w:pgNumType w:start="1"/>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variable"/>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fixed"/>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中文正文">
    <w:altName w:val="Segoe Print"/>
    <w:panose1 w:val="00000000000000000000"/>
    <w:charset w:val="00"/>
    <w:family w:val="auto"/>
    <w:pitch w:val="default"/>
    <w:sig w:usb0="00000000" w:usb1="00000000" w:usb2="00000000" w:usb3="00000000" w:csb0="00000001" w:csb1="00000000"/>
  </w:font>
  <w:font w:name="+西文正文">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STXihei">
    <w:altName w:val="STXi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3AB" w:rsidRPr="00F978C8" w:rsidP="001A4CEE" w14:paraId="07FC8FB3" w14:textId="26E6CC72">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3AB" w:rsidRPr="00F978C8" w:rsidP="001A4CEE" w14:textId="26E6CC72">
    <w:pPr>
      <w:pStyle w:val="Footer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2" o:spid="_x0000_s2051" type="#_x0000_t136" style="width:703.39pt;height:40.22pt;margin-top:0;margin-left:0;mso-position-horizontal:center;mso-position-horizontal-relative:margin;mso-position-vertical:center;mso-position-vertical-relative:margin;position:absolute;rotation:315;z-index:-251656192" fillcolor="#e6e6e6" strokecolor="#e6e6e6">
          <v:fill opacity="0.5"/>
          <v:textpath style="font-family:Arial" string="诺峰药业DMS系统 唐英棋 2024121814143000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5000" w:type="pct"/>
      <w:jc w:val="center"/>
      <w:tblBorders>
        <w:top w:val="single" w:sz="8" w:space="0" w:color="auto"/>
        <w:left w:val="single" w:sz="8" w:space="0" w:color="auto"/>
        <w:bottom w:val="thickThinSmallGap" w:sz="24" w:space="0" w:color="auto"/>
        <w:right w:val="single" w:sz="8" w:space="0" w:color="auto"/>
        <w:insideH w:val="single" w:sz="4" w:space="0" w:color="auto"/>
        <w:insideV w:val="single" w:sz="4" w:space="0" w:color="auto"/>
      </w:tblBorders>
      <w:tblCellMar>
        <w:left w:w="57" w:type="dxa"/>
      </w:tblCellMar>
      <w:tblLook w:val="04A0"/>
    </w:tblPr>
    <w:tblGrid>
      <w:gridCol w:w="1629"/>
      <w:gridCol w:w="2675"/>
      <w:gridCol w:w="2350"/>
      <w:gridCol w:w="2397"/>
    </w:tblGrid>
    <w:tr w14:paraId="2C997AFC" w14:textId="77777777" w:rsidTr="00F12B72">
      <w:tblPrEx>
        <w:tblW w:w="5000" w:type="pct"/>
        <w:jc w:val="center"/>
        <w:tblBorders>
          <w:top w:val="single" w:sz="8" w:space="0" w:color="auto"/>
          <w:left w:val="single" w:sz="8" w:space="0" w:color="auto"/>
          <w:bottom w:val="thickThinSmallGap" w:sz="24" w:space="0" w:color="auto"/>
          <w:right w:val="single" w:sz="8" w:space="0" w:color="auto"/>
          <w:insideH w:val="single" w:sz="4" w:space="0" w:color="auto"/>
          <w:insideV w:val="single" w:sz="4" w:space="0" w:color="auto"/>
        </w:tblBorders>
        <w:tblCellMar>
          <w:left w:w="57" w:type="dxa"/>
        </w:tblCellMar>
        <w:tblLook w:val="04A0"/>
      </w:tblPrEx>
      <w:trPr>
        <w:trHeight w:val="539"/>
        <w:jc w:val="center"/>
      </w:trPr>
      <w:tc>
        <w:tcPr>
          <w:tcW w:w="900" w:type="pct"/>
          <w:vMerge w:val="restart"/>
          <w:shd w:val="clear" w:color="auto" w:fill="auto"/>
          <w:vAlign w:val="center"/>
        </w:tcPr>
        <w:p w:rsidR="0068687B" w:rsidP="00427DE7" w14:paraId="2C3925D9" w14:textId="77777777">
          <w:pPr>
            <w:pStyle w:val="Normal0"/>
            <w:ind w:left="-57" w:leftChars="-27"/>
            <w:jc w:val="center"/>
            <w:rPr>
              <w:rFonts w:ascii="Calibri" w:eastAsia="STXihei" w:hAnsi="Calibri"/>
              <w:b/>
            </w:rPr>
          </w:pPr>
          <w:r>
            <w:rPr>
              <w:noProof/>
              <w:sz w:val="20"/>
              <w:szCs w:val="20"/>
            </w:rPr>
            <w:drawing>
              <wp:inline distT="0" distB="0" distL="0" distR="0">
                <wp:extent cx="779145" cy="678815"/>
                <wp:effectExtent l="0" t="0" r="1905" b="6985"/>
                <wp:docPr id="538471763" name="图片 53847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71763" name="图片 20230559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91627" cy="689633"/>
                        </a:xfrm>
                        <a:prstGeom prst="rect">
                          <a:avLst/>
                        </a:prstGeom>
                        <a:noFill/>
                      </pic:spPr>
                    </pic:pic>
                  </a:graphicData>
                </a:graphic>
              </wp:inline>
            </w:drawing>
          </w:r>
        </w:p>
      </w:tc>
      <w:tc>
        <w:tcPr>
          <w:tcW w:w="4100" w:type="pct"/>
          <w:gridSpan w:val="3"/>
          <w:shd w:val="clear" w:color="auto" w:fill="auto"/>
          <w:vAlign w:val="center"/>
        </w:tcPr>
        <w:p w:rsidR="0068687B" w:rsidP="00427DE7" w14:paraId="276DD25F" w14:textId="2BFACE5A">
          <w:pPr>
            <w:pStyle w:val="Heading1"/>
            <w:spacing w:after="0" w:afterLines="0"/>
            <w:jc w:val="center"/>
            <w:rPr>
              <w:rFonts w:ascii="宋体" w:hAnsi="宋体" w:cs="宋体"/>
              <w:sz w:val="24"/>
            </w:rPr>
          </w:pPr>
          <w:bookmarkStart w:id="2" w:name="中文名称_0"/>
          <w:r>
            <w:rPr>
              <w:rFonts w:ascii="宋体" w:eastAsia="宋体" w:hAnsi="宋体" w:cs="宋体"/>
              <w:sz w:val="24"/>
            </w:rPr>
            <w:t>成品和中间产品取样管理</w:t>
          </w:r>
          <w:bookmarkEnd w:id="2"/>
        </w:p>
        <w:p w:rsidR="0068687B" w:rsidP="00427DE7" w14:paraId="3B2C4680" w14:textId="17472759">
          <w:pPr>
            <w:pStyle w:val="Heading1"/>
            <w:spacing w:after="0" w:afterLines="0"/>
            <w:jc w:val="center"/>
            <w:rPr>
              <w:rFonts w:eastAsia="Times New Roman"/>
              <w:sz w:val="24"/>
            </w:rPr>
          </w:pPr>
          <w:bookmarkStart w:id="3" w:name="英文名称_0"/>
          <w:r>
            <w:rPr>
              <w:rFonts w:ascii="Times New Roman" w:eastAsia="Times New Roman" w:hAnsi="Times New Roman" w:cs="Times New Roman"/>
              <w:sz w:val="24"/>
            </w:rPr>
            <w:t>Finished Products and Intermediate Produtc Sampling Mangement</w:t>
          </w:r>
          <w:bookmarkEnd w:id="3"/>
        </w:p>
      </w:tc>
    </w:tr>
    <w:tr w14:paraId="0BDE0CD2" w14:textId="77777777" w:rsidTr="00F12B72">
      <w:tblPrEx>
        <w:tblW w:w="5000" w:type="pct"/>
        <w:jc w:val="center"/>
        <w:tblCellMar>
          <w:left w:w="57" w:type="dxa"/>
        </w:tblCellMar>
        <w:tblLook w:val="04A0"/>
      </w:tblPrEx>
      <w:trPr>
        <w:trHeight w:val="536"/>
        <w:jc w:val="center"/>
      </w:trPr>
      <w:tc>
        <w:tcPr>
          <w:tcW w:w="900" w:type="pct"/>
          <w:vMerge/>
          <w:shd w:val="clear" w:color="auto" w:fill="auto"/>
          <w:vAlign w:val="center"/>
        </w:tcPr>
        <w:p w:rsidR="0068687B" w:rsidP="00427DE7" w14:paraId="170FF143" w14:textId="77777777">
          <w:pPr>
            <w:pStyle w:val="Normal0"/>
            <w:tabs>
              <w:tab w:val="left" w:pos="392"/>
            </w:tabs>
            <w:snapToGrid w:val="0"/>
            <w:jc w:val="center"/>
            <w:rPr>
              <w:rFonts w:ascii="Calibri" w:eastAsia="STXihei" w:hAnsi="Calibri" w:cs="Arial"/>
              <w:b/>
              <w:sz w:val="18"/>
              <w:szCs w:val="18"/>
              <w:lang w:val="en-GB"/>
            </w:rPr>
          </w:pPr>
        </w:p>
      </w:tc>
      <w:tc>
        <w:tcPr>
          <w:tcW w:w="1478" w:type="pct"/>
          <w:shd w:val="clear" w:color="auto" w:fill="auto"/>
          <w:vAlign w:val="center"/>
        </w:tcPr>
        <w:p w:rsidR="0068687B" w:rsidP="00427DE7" w14:paraId="59A75767" w14:textId="77777777">
          <w:pPr>
            <w:pStyle w:val="Normal0"/>
            <w:jc w:val="center"/>
            <w:rPr>
              <w:sz w:val="24"/>
            </w:rPr>
          </w:pPr>
          <w:r>
            <w:rPr>
              <w:sz w:val="24"/>
            </w:rPr>
            <w:t>文件编号</w:t>
          </w:r>
          <w:r>
            <w:rPr>
              <w:sz w:val="24"/>
            </w:rPr>
            <w:t>Document No.</w:t>
          </w:r>
        </w:p>
        <w:p w:rsidR="0068687B" w:rsidP="00427DE7" w14:paraId="03D0EFE0" w14:textId="44738975">
          <w:pPr>
            <w:pStyle w:val="Normal0"/>
            <w:jc w:val="center"/>
            <w:rPr>
              <w:rFonts w:eastAsia="Times New Roman"/>
              <w:sz w:val="24"/>
            </w:rPr>
          </w:pPr>
          <w:bookmarkStart w:id="4" w:name="文档编号_0"/>
          <w:r>
            <w:rPr>
              <w:rFonts w:ascii="Times New Roman" w:eastAsia="Times New Roman" w:hAnsi="Times New Roman" w:cs="Times New Roman"/>
              <w:sz w:val="24"/>
            </w:rPr>
            <w:t>SMP-QA-071</w:t>
          </w:r>
          <w:bookmarkEnd w:id="4"/>
        </w:p>
      </w:tc>
      <w:tc>
        <w:tcPr>
          <w:tcW w:w="1298" w:type="pct"/>
          <w:shd w:val="clear" w:color="auto" w:fill="auto"/>
          <w:vAlign w:val="center"/>
        </w:tcPr>
        <w:p w:rsidR="0068687B" w:rsidP="00427DE7" w14:paraId="018F159B" w14:textId="77777777">
          <w:pPr>
            <w:pStyle w:val="Normal0"/>
            <w:jc w:val="center"/>
            <w:rPr>
              <w:sz w:val="24"/>
            </w:rPr>
          </w:pPr>
          <w:r>
            <w:rPr>
              <w:sz w:val="24"/>
            </w:rPr>
            <w:t>版本号</w:t>
          </w:r>
          <w:r>
            <w:rPr>
              <w:sz w:val="24"/>
            </w:rPr>
            <w:t>Version No.</w:t>
          </w:r>
        </w:p>
        <w:p w:rsidR="0068687B" w:rsidP="00427DE7" w14:paraId="693C9BBF" w14:textId="36BF6CD8">
          <w:pPr>
            <w:pStyle w:val="Normal0"/>
            <w:jc w:val="center"/>
            <w:rPr>
              <w:rFonts w:eastAsia="Times New Roman"/>
              <w:sz w:val="24"/>
            </w:rPr>
          </w:pPr>
          <w:bookmarkStart w:id="5" w:name="版本号_0"/>
          <w:r>
            <w:rPr>
              <w:rFonts w:ascii="Times New Roman" w:eastAsia="Times New Roman" w:hAnsi="Times New Roman" w:cs="Times New Roman"/>
              <w:sz w:val="24"/>
            </w:rPr>
            <w:t>00</w:t>
          </w:r>
          <w:bookmarkEnd w:id="5"/>
        </w:p>
      </w:tc>
      <w:tc>
        <w:tcPr>
          <w:tcW w:w="1324" w:type="pct"/>
          <w:shd w:val="clear" w:color="auto" w:fill="auto"/>
          <w:vAlign w:val="center"/>
        </w:tcPr>
        <w:p w:rsidR="0068687B" w:rsidP="00427DE7" w14:paraId="552FD051" w14:textId="77777777">
          <w:pPr>
            <w:pStyle w:val="Normal0"/>
            <w:jc w:val="center"/>
            <w:rPr>
              <w:sz w:val="24"/>
            </w:rPr>
          </w:pPr>
          <w:r>
            <w:rPr>
              <w:sz w:val="24"/>
            </w:rPr>
            <w:t>页码</w:t>
          </w:r>
          <w:r>
            <w:rPr>
              <w:sz w:val="24"/>
            </w:rPr>
            <w:t>Page</w:t>
          </w:r>
        </w:p>
        <w:p w:rsidR="0068687B" w:rsidP="00531B36" w14:paraId="2657A83E" w14:textId="76F2AE9F">
          <w:pPr>
            <w:pStyle w:val="Normal0"/>
            <w:jc w:val="center"/>
            <w:rPr>
              <w:sz w:val="24"/>
            </w:rPr>
          </w:pPr>
          <w:r w:rsidRPr="00FE286C">
            <w:rPr>
              <w:sz w:val="24"/>
            </w:rPr>
            <w:fldChar w:fldCharType="begin"/>
          </w:r>
          <w:r w:rsidRPr="00FE286C">
            <w:rPr>
              <w:sz w:val="24"/>
            </w:rPr>
            <w:instrText xml:space="preserve"> PAGE </w:instrText>
          </w:r>
          <w:r w:rsidRPr="00FE286C">
            <w:rPr>
              <w:sz w:val="24"/>
            </w:rPr>
            <w:fldChar w:fldCharType="separate"/>
          </w:r>
          <w:r>
            <w:rPr>
              <w:noProof/>
              <w:sz w:val="24"/>
            </w:rPr>
            <w:t>6</w:t>
          </w:r>
          <w:r w:rsidRPr="00FE286C">
            <w:rPr>
              <w:sz w:val="24"/>
            </w:rPr>
            <w:fldChar w:fldCharType="end"/>
          </w:r>
          <w:r w:rsidRPr="00FE286C">
            <w:rPr>
              <w:sz w:val="24"/>
            </w:rPr>
            <w:t>/</w:t>
          </w:r>
          <w:r w:rsidR="00E06CD7">
            <w:rPr>
              <w:sz w:val="24"/>
            </w:rPr>
            <w:t>1</w:t>
          </w:r>
          <w:r w:rsidR="003E3025">
            <w:rPr>
              <w:sz w:val="24"/>
            </w:rPr>
            <w:t>2</w:t>
          </w:r>
        </w:p>
      </w:tc>
    </w:tr>
  </w:tbl>
  <w:p w:rsidR="0068687B" w:rsidRPr="00531B36" w:rsidP="007208F7" w14:paraId="609E93E7" w14:textId="77777777">
    <w:pPr>
      <w:pStyle w:val="Normal0"/>
      <w:rPr>
        <w:sz w:val="11"/>
        <w:szCs w:val="11"/>
      </w:rPr>
    </w:pPr>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3" o:spid="_x0000_s2049" type="#_x0000_t136" style="width:703.39pt;height:40.22pt;margin-top:0;margin-left:0;mso-position-horizontal:center;mso-position-horizontal-relative:margin;mso-position-vertical:center;mso-position-vertical-relative:margin;position:absolute;rotation:315;z-index:-251658240" fillcolor="#e6e6e6" strokecolor="#e6e6e6">
          <v:fill opacity="0.5"/>
          <v:textpath style="font-family:Arial" string="诺峰药业DMS系统 唐英棋 2024121814143000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1" o:spid="_x0000_s2050" type="#_x0000_t136" style="width:703.39pt;height:40.22pt;margin-top:0;margin-left:0;mso-position-horizontal:center;mso-position-horizontal-relative:margin;mso-position-vertical:center;mso-position-vertical-relative:margin;position:absolute;rotation:315;z-index:-251657216" fillcolor="#e6e6e6" strokecolor="#e6e6e6">
          <v:fill opacity="0.5"/>
          <v:textpath style="font-family:Arial" string="诺峰药业DMS系统 唐英棋 20241218141430000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5000" w:type="pct"/>
      <w:jc w:val="center"/>
      <w:tblBorders>
        <w:top w:val="single" w:sz="8" w:space="0" w:color="auto"/>
        <w:left w:val="single" w:sz="8" w:space="0" w:color="auto"/>
        <w:bottom w:val="thickThinSmallGap" w:sz="24" w:space="0" w:color="auto"/>
        <w:right w:val="single" w:sz="8" w:space="0" w:color="auto"/>
        <w:insideH w:val="single" w:sz="4" w:space="0" w:color="auto"/>
        <w:insideV w:val="single" w:sz="4" w:space="0" w:color="auto"/>
      </w:tblBorders>
      <w:tblCellMar>
        <w:left w:w="57" w:type="dxa"/>
      </w:tblCellMar>
      <w:tblLook w:val="04A0"/>
    </w:tblPr>
    <w:tblGrid>
      <w:gridCol w:w="1629"/>
      <w:gridCol w:w="2675"/>
      <w:gridCol w:w="2350"/>
      <w:gridCol w:w="2397"/>
    </w:tblGrid>
    <w:tr w14:paraId="2C997AFD" w14:textId="77777777" w:rsidTr="00F12B72">
      <w:tblPrEx>
        <w:tblW w:w="5000" w:type="pct"/>
        <w:jc w:val="center"/>
        <w:tblBorders>
          <w:top w:val="single" w:sz="8" w:space="0" w:color="auto"/>
          <w:left w:val="single" w:sz="8" w:space="0" w:color="auto"/>
          <w:bottom w:val="thickThinSmallGap" w:sz="24" w:space="0" w:color="auto"/>
          <w:right w:val="single" w:sz="8" w:space="0" w:color="auto"/>
          <w:insideH w:val="single" w:sz="4" w:space="0" w:color="auto"/>
          <w:insideV w:val="single" w:sz="4" w:space="0" w:color="auto"/>
        </w:tblBorders>
        <w:tblCellMar>
          <w:left w:w="57" w:type="dxa"/>
        </w:tblCellMar>
        <w:tblLook w:val="04A0"/>
      </w:tblPrEx>
      <w:trPr>
        <w:trHeight w:val="539"/>
        <w:jc w:val="center"/>
      </w:trPr>
      <w:tc>
        <w:tcPr>
          <w:tcW w:w="900" w:type="pct"/>
          <w:vMerge w:val="restart"/>
          <w:shd w:val="clear" w:color="auto" w:fill="auto"/>
          <w:vAlign w:val="center"/>
        </w:tcPr>
        <w:p w:rsidR="0068687B" w:rsidP="00427DE7" w14:textId="77777777">
          <w:pPr>
            <w:pStyle w:val="Normal0"/>
            <w:ind w:left="-57" w:leftChars="-27"/>
            <w:jc w:val="center"/>
            <w:rPr>
              <w:rFonts w:ascii="Calibri" w:eastAsia="STXihei" w:hAnsi="Calibri"/>
              <w:b/>
            </w:rPr>
          </w:pPr>
          <w:r>
            <w:rPr>
              <w:noProof/>
              <w:sz w:val="20"/>
              <w:szCs w:val="20"/>
            </w:rPr>
            <w:drawing>
              <wp:inline distT="0" distB="0" distL="0" distR="0">
                <wp:extent cx="779145" cy="678815"/>
                <wp:effectExtent l="0" t="0" r="1905" b="6985"/>
                <wp:docPr id="568831034" name="图片 53847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31034" name="图片 20230559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91627" cy="689633"/>
                        </a:xfrm>
                        <a:prstGeom prst="rect">
                          <a:avLst/>
                        </a:prstGeom>
                        <a:noFill/>
                      </pic:spPr>
                    </pic:pic>
                  </a:graphicData>
                </a:graphic>
              </wp:inline>
            </w:drawing>
          </w:r>
        </w:p>
      </w:tc>
      <w:tc>
        <w:tcPr>
          <w:tcW w:w="4100" w:type="pct"/>
          <w:gridSpan w:val="3"/>
          <w:shd w:val="clear" w:color="auto" w:fill="auto"/>
          <w:vAlign w:val="center"/>
        </w:tcPr>
        <w:p w:rsidR="0068687B" w:rsidP="00427DE7" w14:textId="2BFACE5A">
          <w:pPr>
            <w:pStyle w:val="Heading1"/>
            <w:spacing w:after="0" w:afterLines="0"/>
            <w:jc w:val="center"/>
            <w:rPr>
              <w:rFonts w:ascii="宋体" w:eastAsia="宋体" w:hAnsi="宋体" w:cs="宋体"/>
              <w:sz w:val="24"/>
            </w:rPr>
          </w:pPr>
          <w:bookmarkStart w:id="24" w:name="中文名称"/>
          <w:bookmarkEnd w:id="24"/>
          <w:r>
            <w:rPr>
              <w:rFonts w:ascii="宋体" w:eastAsia="宋体" w:hAnsi="宋体" w:cs="宋体"/>
              <w:sz w:val="24"/>
            </w:rPr>
            <w:t>成品和中间产品取样管理</w:t>
          </w:r>
        </w:p>
        <w:p w:rsidR="0068687B" w:rsidP="00427DE7" w14:textId="17472759">
          <w:pPr>
            <w:pStyle w:val="Heading1"/>
            <w:spacing w:after="0" w:afterLines="0"/>
            <w:jc w:val="center"/>
            <w:rPr>
              <w:rFonts w:ascii="Times New Roman" w:eastAsia="Times New Roman" w:hAnsi="Times New Roman" w:cs="Times New Roman"/>
              <w:sz w:val="24"/>
            </w:rPr>
          </w:pPr>
          <w:bookmarkStart w:id="25" w:name="英文名称"/>
          <w:bookmarkEnd w:id="25"/>
          <w:r>
            <w:rPr>
              <w:rFonts w:ascii="Times New Roman" w:eastAsia="Times New Roman" w:hAnsi="Times New Roman" w:cs="Times New Roman"/>
              <w:sz w:val="24"/>
            </w:rPr>
            <w:t>Finished Products and Intermediate Produtc Sampling Mangement</w:t>
          </w:r>
        </w:p>
      </w:tc>
    </w:tr>
    <w:tr w14:paraId="0BDE0CD3" w14:textId="77777777" w:rsidTr="00F12B72">
      <w:tblPrEx>
        <w:tblW w:w="5000" w:type="pct"/>
        <w:jc w:val="center"/>
        <w:tblCellMar>
          <w:left w:w="57" w:type="dxa"/>
        </w:tblCellMar>
        <w:tblLook w:val="04A0"/>
      </w:tblPrEx>
      <w:trPr>
        <w:trHeight w:val="536"/>
        <w:jc w:val="center"/>
      </w:trPr>
      <w:tc>
        <w:tcPr>
          <w:tcW w:w="900" w:type="pct"/>
          <w:vMerge/>
          <w:shd w:val="clear" w:color="auto" w:fill="auto"/>
          <w:vAlign w:val="center"/>
        </w:tcPr>
        <w:p w:rsidR="0068687B" w:rsidP="00427DE7" w14:textId="77777777">
          <w:pPr>
            <w:pStyle w:val="Normal0"/>
            <w:tabs>
              <w:tab w:val="left" w:pos="392"/>
            </w:tabs>
            <w:snapToGrid w:val="0"/>
            <w:jc w:val="center"/>
            <w:rPr>
              <w:rFonts w:ascii="Calibri" w:eastAsia="STXihei" w:hAnsi="Calibri" w:cs="Arial"/>
              <w:b/>
              <w:sz w:val="18"/>
              <w:szCs w:val="18"/>
              <w:lang w:val="en-GB"/>
            </w:rPr>
          </w:pPr>
        </w:p>
      </w:tc>
      <w:tc>
        <w:tcPr>
          <w:tcW w:w="1478" w:type="pct"/>
          <w:shd w:val="clear" w:color="auto" w:fill="auto"/>
          <w:vAlign w:val="center"/>
        </w:tcPr>
        <w:p w:rsidR="0068687B" w:rsidP="00427DE7" w14:textId="77777777">
          <w:pPr>
            <w:pStyle w:val="Normal0"/>
            <w:jc w:val="center"/>
            <w:rPr>
              <w:sz w:val="24"/>
            </w:rPr>
          </w:pPr>
          <w:r>
            <w:rPr>
              <w:sz w:val="24"/>
            </w:rPr>
            <w:t>文件编号</w:t>
          </w:r>
          <w:r>
            <w:rPr>
              <w:sz w:val="24"/>
            </w:rPr>
            <w:t>Document No.</w:t>
          </w:r>
        </w:p>
        <w:p w:rsidR="0068687B" w:rsidP="00427DE7" w14:textId="44738975">
          <w:pPr>
            <w:pStyle w:val="Normal0"/>
            <w:jc w:val="center"/>
            <w:rPr>
              <w:rFonts w:ascii="Times New Roman" w:eastAsia="Times New Roman" w:hAnsi="Times New Roman" w:cs="Times New Roman"/>
              <w:sz w:val="24"/>
            </w:rPr>
          </w:pPr>
          <w:bookmarkStart w:id="26" w:name="文档编号"/>
          <w:bookmarkEnd w:id="26"/>
          <w:r>
            <w:rPr>
              <w:rFonts w:ascii="Times New Roman" w:eastAsia="Times New Roman" w:hAnsi="Times New Roman" w:cs="Times New Roman"/>
              <w:sz w:val="24"/>
            </w:rPr>
            <w:t>SMP-QA-071</w:t>
          </w:r>
        </w:p>
      </w:tc>
      <w:tc>
        <w:tcPr>
          <w:tcW w:w="1298" w:type="pct"/>
          <w:shd w:val="clear" w:color="auto" w:fill="auto"/>
          <w:vAlign w:val="center"/>
        </w:tcPr>
        <w:p w:rsidR="0068687B" w:rsidP="00427DE7" w14:textId="77777777">
          <w:pPr>
            <w:pStyle w:val="Normal0"/>
            <w:jc w:val="center"/>
            <w:rPr>
              <w:sz w:val="24"/>
            </w:rPr>
          </w:pPr>
          <w:r>
            <w:rPr>
              <w:sz w:val="24"/>
            </w:rPr>
            <w:t>版本号</w:t>
          </w:r>
          <w:r>
            <w:rPr>
              <w:sz w:val="24"/>
            </w:rPr>
            <w:t>Version No.</w:t>
          </w:r>
        </w:p>
        <w:p w:rsidR="0068687B" w:rsidP="00427DE7" w14:textId="36BF6CD8">
          <w:pPr>
            <w:pStyle w:val="Normal0"/>
            <w:jc w:val="center"/>
            <w:rPr>
              <w:rFonts w:ascii="Times New Roman" w:eastAsia="Times New Roman" w:hAnsi="Times New Roman" w:cs="Times New Roman"/>
              <w:sz w:val="24"/>
            </w:rPr>
          </w:pPr>
          <w:bookmarkStart w:id="27" w:name="版本号"/>
          <w:bookmarkEnd w:id="27"/>
          <w:r>
            <w:rPr>
              <w:rFonts w:ascii="Times New Roman" w:eastAsia="Times New Roman" w:hAnsi="Times New Roman" w:cs="Times New Roman"/>
              <w:sz w:val="24"/>
            </w:rPr>
            <w:t>00</w:t>
          </w:r>
        </w:p>
      </w:tc>
      <w:tc>
        <w:tcPr>
          <w:tcW w:w="1324" w:type="pct"/>
          <w:shd w:val="clear" w:color="auto" w:fill="auto"/>
          <w:vAlign w:val="center"/>
        </w:tcPr>
        <w:p w:rsidR="0068687B" w:rsidP="00427DE7" w14:textId="77777777">
          <w:pPr>
            <w:pStyle w:val="Normal0"/>
            <w:jc w:val="center"/>
            <w:rPr>
              <w:sz w:val="24"/>
            </w:rPr>
          </w:pPr>
          <w:r>
            <w:rPr>
              <w:sz w:val="24"/>
            </w:rPr>
            <w:t>页码</w:t>
          </w:r>
          <w:r>
            <w:rPr>
              <w:sz w:val="24"/>
            </w:rPr>
            <w:t>Page</w:t>
          </w:r>
        </w:p>
        <w:p w:rsidR="0068687B" w:rsidP="00531B36" w14:textId="76F2AE9F">
          <w:pPr>
            <w:pStyle w:val="Normal0"/>
            <w:jc w:val="center"/>
            <w:rPr>
              <w:sz w:val="24"/>
            </w:rPr>
          </w:pPr>
          <w:r w:rsidRPr="00FE286C">
            <w:rPr>
              <w:sz w:val="24"/>
            </w:rPr>
            <w:fldChar w:fldCharType="begin"/>
          </w:r>
          <w:r w:rsidRPr="00FE286C">
            <w:rPr>
              <w:sz w:val="24"/>
            </w:rPr>
            <w:instrText xml:space="preserve"> PAGE </w:instrText>
          </w:r>
          <w:r w:rsidRPr="00FE286C">
            <w:rPr>
              <w:sz w:val="24"/>
            </w:rPr>
            <w:fldChar w:fldCharType="separate"/>
          </w:r>
          <w:r>
            <w:rPr>
              <w:noProof/>
              <w:sz w:val="24"/>
            </w:rPr>
            <w:t>6</w:t>
          </w:r>
          <w:r w:rsidRPr="00FE286C">
            <w:rPr>
              <w:sz w:val="24"/>
            </w:rPr>
            <w:fldChar w:fldCharType="end"/>
          </w:r>
          <w:r w:rsidRPr="00FE286C">
            <w:rPr>
              <w:sz w:val="24"/>
            </w:rPr>
            <w:t>/</w:t>
          </w:r>
          <w:r w:rsidR="00E06CD7">
            <w:rPr>
              <w:sz w:val="24"/>
            </w:rPr>
            <w:t>1</w:t>
          </w:r>
          <w:r w:rsidR="003E3025">
            <w:rPr>
              <w:sz w:val="24"/>
            </w:rPr>
            <w:t>2</w:t>
          </w:r>
        </w:p>
      </w:tc>
    </w:tr>
  </w:tbl>
  <w:p w:rsidR="0068687B" w:rsidRPr="00531B36" w:rsidP="007208F7" w14:textId="77777777">
    <w:pPr>
      <w:pStyle w:val="Normal0"/>
      <w:rPr>
        <w:sz w:val="11"/>
        <w:szCs w:val="11"/>
      </w:rPr>
    </w:pPr>
    <w:r>
      <w:rPr>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4" o:spid="_x0000_s2052" type="#_x0000_t136" style="width:703.39pt;height:40.22pt;margin-top:0;margin-left:0;mso-position-horizontal:center;mso-position-horizontal-relative:margin;mso-position-vertical:center;mso-position-vertical-relative:margin;position:absolute;rotation:315;z-index:-251655168" fillcolor="#e6e6e6" strokecolor="#e6e6e6">
          <v:fill opacity="0.5"/>
          <v:textpath style="font-family:Arial" string="诺峰药业DMS系统 唐英棋 2024121814143000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E0539F"/>
    <w:multiLevelType w:val="hybridMultilevel"/>
    <w:tmpl w:val="F580D32A"/>
    <w:lvl w:ilvl="0">
      <w:start w:val="1"/>
      <w:numFmt w:val="bullet"/>
      <w:lvlText w:val=""/>
      <w:lvlJc w:val="left"/>
      <w:pPr>
        <w:ind w:left="3125" w:hanging="420"/>
      </w:pPr>
      <w:rPr>
        <w:rFonts w:ascii="Wingdings" w:hAnsi="Wingdings" w:hint="default"/>
      </w:rPr>
    </w:lvl>
    <w:lvl w:ilvl="1" w:tentative="1">
      <w:start w:val="1"/>
      <w:numFmt w:val="bullet"/>
      <w:lvlText w:val=""/>
      <w:lvlJc w:val="left"/>
      <w:pPr>
        <w:ind w:left="3545" w:hanging="420"/>
      </w:pPr>
      <w:rPr>
        <w:rFonts w:ascii="Wingdings" w:hAnsi="Wingdings" w:hint="default"/>
      </w:rPr>
    </w:lvl>
    <w:lvl w:ilvl="2">
      <w:start w:val="1"/>
      <w:numFmt w:val="bullet"/>
      <w:lvlText w:val=""/>
      <w:lvlJc w:val="left"/>
      <w:pPr>
        <w:ind w:left="3965" w:hanging="420"/>
      </w:pPr>
      <w:rPr>
        <w:rFonts w:ascii="Wingdings" w:hAnsi="Wingdings" w:hint="default"/>
      </w:rPr>
    </w:lvl>
    <w:lvl w:ilvl="3">
      <w:start w:val="1"/>
      <w:numFmt w:val="bullet"/>
      <w:lvlText w:val=""/>
      <w:lvlJc w:val="left"/>
      <w:pPr>
        <w:ind w:left="4385" w:hanging="420"/>
      </w:pPr>
      <w:rPr>
        <w:rFonts w:ascii="Wingdings" w:hAnsi="Wingdings" w:hint="default"/>
      </w:rPr>
    </w:lvl>
    <w:lvl w:ilvl="4" w:tentative="1">
      <w:start w:val="1"/>
      <w:numFmt w:val="bullet"/>
      <w:lvlText w:val=""/>
      <w:lvlJc w:val="left"/>
      <w:pPr>
        <w:ind w:left="4805" w:hanging="420"/>
      </w:pPr>
      <w:rPr>
        <w:rFonts w:ascii="Wingdings" w:hAnsi="Wingdings" w:hint="default"/>
      </w:rPr>
    </w:lvl>
    <w:lvl w:ilvl="5" w:tentative="1">
      <w:start w:val="1"/>
      <w:numFmt w:val="bullet"/>
      <w:lvlText w:val=""/>
      <w:lvlJc w:val="left"/>
      <w:pPr>
        <w:ind w:left="5225" w:hanging="420"/>
      </w:pPr>
      <w:rPr>
        <w:rFonts w:ascii="Wingdings" w:hAnsi="Wingdings" w:hint="default"/>
      </w:rPr>
    </w:lvl>
    <w:lvl w:ilvl="6" w:tentative="1">
      <w:start w:val="1"/>
      <w:numFmt w:val="bullet"/>
      <w:lvlText w:val=""/>
      <w:lvlJc w:val="left"/>
      <w:pPr>
        <w:ind w:left="5645" w:hanging="420"/>
      </w:pPr>
      <w:rPr>
        <w:rFonts w:ascii="Wingdings" w:hAnsi="Wingdings" w:hint="default"/>
      </w:rPr>
    </w:lvl>
    <w:lvl w:ilvl="7" w:tentative="1">
      <w:start w:val="1"/>
      <w:numFmt w:val="bullet"/>
      <w:lvlText w:val=""/>
      <w:lvlJc w:val="left"/>
      <w:pPr>
        <w:ind w:left="6065" w:hanging="420"/>
      </w:pPr>
      <w:rPr>
        <w:rFonts w:ascii="Wingdings" w:hAnsi="Wingdings" w:hint="default"/>
      </w:rPr>
    </w:lvl>
    <w:lvl w:ilvl="8" w:tentative="1">
      <w:start w:val="1"/>
      <w:numFmt w:val="bullet"/>
      <w:lvlText w:val=""/>
      <w:lvlJc w:val="left"/>
      <w:pPr>
        <w:ind w:left="6485" w:hanging="420"/>
      </w:pPr>
      <w:rPr>
        <w:rFonts w:ascii="Wingdings" w:hAnsi="Wingdings" w:hint="default"/>
      </w:rPr>
    </w:lvl>
  </w:abstractNum>
  <w:abstractNum w:abstractNumId="1">
    <w:nsid w:val="6C6534EA"/>
    <w:multiLevelType w:val="multilevel"/>
    <w:tmpl w:val="4D82D4C2"/>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992"/>
        </w:tabs>
        <w:ind w:left="992" w:hanging="567"/>
      </w:pPr>
      <w:rPr>
        <w:rFonts w:cs="Times New Roman" w:hint="eastAsia"/>
      </w:rPr>
    </w:lvl>
    <w:lvl w:ilvl="2">
      <w:start w:val="1"/>
      <w:numFmt w:val="decimal"/>
      <w:pStyle w:val="3"/>
      <w:lvlText w:val="%1.%2.%3"/>
      <w:lvlJc w:val="left"/>
      <w:pPr>
        <w:tabs>
          <w:tab w:val="num" w:pos="1701"/>
        </w:tabs>
        <w:ind w:left="1701" w:hanging="709"/>
      </w:pPr>
      <w:rPr>
        <w:rFonts w:cs="Times New Roman" w:hint="eastAsia"/>
        <w:b w:val="0"/>
        <w:bCs/>
      </w:rPr>
    </w:lvl>
    <w:lvl w:ilvl="3">
      <w:start w:val="1"/>
      <w:numFmt w:val="decimal"/>
      <w:pStyle w:val="4"/>
      <w:lvlText w:val="%1.%2.%3.%4"/>
      <w:lvlJc w:val="left"/>
      <w:pPr>
        <w:tabs>
          <w:tab w:val="num" w:pos="1559"/>
        </w:tabs>
        <w:ind w:left="2410" w:hanging="851"/>
      </w:pPr>
      <w:rPr>
        <w:b w:val="0"/>
        <w:bCs/>
      </w:rPr>
    </w:lvl>
    <w:lvl w:ilvl="4">
      <w:start w:val="1"/>
      <w:numFmt w:val="decimal"/>
      <w:lvlText w:val="%1.%2.%3.%4.%5"/>
      <w:lvlJc w:val="left"/>
      <w:pPr>
        <w:tabs>
          <w:tab w:val="num" w:pos="0"/>
        </w:tabs>
        <w:ind w:left="2551" w:hanging="850"/>
      </w:pPr>
      <w:rPr>
        <w:rFonts w:cs="Times New Roman" w:hint="eastAsia"/>
      </w:rPr>
    </w:lvl>
    <w:lvl w:ilvl="5">
      <w:start w:val="1"/>
      <w:numFmt w:val="decimal"/>
      <w:lvlText w:val="%1.%2.%3.%4.%5.%6"/>
      <w:lvlJc w:val="left"/>
      <w:pPr>
        <w:tabs>
          <w:tab w:val="num" w:pos="0"/>
        </w:tabs>
        <w:ind w:left="3260" w:hanging="1134"/>
      </w:pPr>
      <w:rPr>
        <w:rFonts w:cs="Times New Roman" w:hint="eastAsia"/>
      </w:rPr>
    </w:lvl>
    <w:lvl w:ilvl="6">
      <w:start w:val="1"/>
      <w:numFmt w:val="decimal"/>
      <w:lvlText w:val="%1.%2.%3.%4.%5.%6.%7"/>
      <w:lvlJc w:val="left"/>
      <w:pPr>
        <w:tabs>
          <w:tab w:val="num" w:pos="0"/>
        </w:tabs>
        <w:ind w:left="3827" w:hanging="1276"/>
      </w:pPr>
      <w:rPr>
        <w:rFonts w:cs="Times New Roman" w:hint="eastAsia"/>
      </w:rPr>
    </w:lvl>
    <w:lvl w:ilvl="7">
      <w:start w:val="1"/>
      <w:numFmt w:val="decimal"/>
      <w:lvlText w:val="%1.%2.%3.%4.%5.%6.%7.%8"/>
      <w:lvlJc w:val="left"/>
      <w:pPr>
        <w:tabs>
          <w:tab w:val="num" w:pos="0"/>
        </w:tabs>
        <w:ind w:left="4394" w:hanging="1418"/>
      </w:pPr>
      <w:rPr>
        <w:rFonts w:cs="Times New Roman" w:hint="eastAsia"/>
      </w:rPr>
    </w:lvl>
    <w:lvl w:ilvl="8">
      <w:start w:val="1"/>
      <w:numFmt w:val="decimal"/>
      <w:lvlText w:val="%1.%2.%3.%4.%5.%6.%7.%8.%9"/>
      <w:lvlJc w:val="left"/>
      <w:pPr>
        <w:tabs>
          <w:tab w:val="num" w:pos="0"/>
        </w:tabs>
        <w:ind w:left="5102"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obgr7nb5adUgxacqCYLwK9gQlz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56"/>
    <w:rsid w:val="000205B3"/>
    <w:rsid w:val="0005717C"/>
    <w:rsid w:val="0006279F"/>
    <w:rsid w:val="00072213"/>
    <w:rsid w:val="000B4187"/>
    <w:rsid w:val="000B5056"/>
    <w:rsid w:val="000D248E"/>
    <w:rsid w:val="000D7E60"/>
    <w:rsid w:val="001272F9"/>
    <w:rsid w:val="00141B3C"/>
    <w:rsid w:val="00164543"/>
    <w:rsid w:val="001A4CEE"/>
    <w:rsid w:val="001B5C97"/>
    <w:rsid w:val="00201258"/>
    <w:rsid w:val="002057F2"/>
    <w:rsid w:val="0027767F"/>
    <w:rsid w:val="00287FC8"/>
    <w:rsid w:val="002C1FA9"/>
    <w:rsid w:val="00313FAA"/>
    <w:rsid w:val="00323A75"/>
    <w:rsid w:val="00326EB5"/>
    <w:rsid w:val="00375458"/>
    <w:rsid w:val="00382031"/>
    <w:rsid w:val="003925B9"/>
    <w:rsid w:val="003D1238"/>
    <w:rsid w:val="003E3025"/>
    <w:rsid w:val="003F3113"/>
    <w:rsid w:val="003F3437"/>
    <w:rsid w:val="004025DD"/>
    <w:rsid w:val="00427DE7"/>
    <w:rsid w:val="00434CB6"/>
    <w:rsid w:val="004470FA"/>
    <w:rsid w:val="00466EA0"/>
    <w:rsid w:val="004A1194"/>
    <w:rsid w:val="004C389F"/>
    <w:rsid w:val="00531B36"/>
    <w:rsid w:val="00533739"/>
    <w:rsid w:val="005819A9"/>
    <w:rsid w:val="005C1BE1"/>
    <w:rsid w:val="005C4862"/>
    <w:rsid w:val="0061139E"/>
    <w:rsid w:val="006320FF"/>
    <w:rsid w:val="0066371E"/>
    <w:rsid w:val="00684981"/>
    <w:rsid w:val="0068687B"/>
    <w:rsid w:val="006E08EC"/>
    <w:rsid w:val="00701660"/>
    <w:rsid w:val="007208F7"/>
    <w:rsid w:val="007E73E2"/>
    <w:rsid w:val="0085686E"/>
    <w:rsid w:val="00862288"/>
    <w:rsid w:val="00863433"/>
    <w:rsid w:val="00890CD0"/>
    <w:rsid w:val="008D3BF9"/>
    <w:rsid w:val="00923947"/>
    <w:rsid w:val="00926413"/>
    <w:rsid w:val="009E2B82"/>
    <w:rsid w:val="009E69E9"/>
    <w:rsid w:val="009F7A5A"/>
    <w:rsid w:val="00A0281B"/>
    <w:rsid w:val="00A90703"/>
    <w:rsid w:val="00AC3C30"/>
    <w:rsid w:val="00AD6019"/>
    <w:rsid w:val="00AD6A56"/>
    <w:rsid w:val="00B31400"/>
    <w:rsid w:val="00B5375A"/>
    <w:rsid w:val="00C103EE"/>
    <w:rsid w:val="00CA3C5C"/>
    <w:rsid w:val="00CC559B"/>
    <w:rsid w:val="00D9065D"/>
    <w:rsid w:val="00D90748"/>
    <w:rsid w:val="00DB7E23"/>
    <w:rsid w:val="00DD5264"/>
    <w:rsid w:val="00DE3A16"/>
    <w:rsid w:val="00DF2EA7"/>
    <w:rsid w:val="00E06CD7"/>
    <w:rsid w:val="00EC3C6E"/>
    <w:rsid w:val="00EC674F"/>
    <w:rsid w:val="00ED0C8C"/>
    <w:rsid w:val="00EE698E"/>
    <w:rsid w:val="00F123AB"/>
    <w:rsid w:val="00F34FCD"/>
    <w:rsid w:val="00F504EA"/>
    <w:rsid w:val="00F978C8"/>
    <w:rsid w:val="00FA4683"/>
    <w:rsid w:val="00FE286C"/>
    <w:rsid w:val="00FE5434"/>
    <w:rsid w:val="112735F0"/>
    <w:rsid w:val="61E84574"/>
  </w:rsids>
  <w:docVars>
    <w:docVar w:name="commondata" w:val="eyJoZGlkIjoiYjMwZWIzMmJiOTg5YjkzZjc3NjRiN2JkMzU5NDNkYm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14:ligatures w14:val="none"/>
    </w:rPr>
  </w:style>
  <w:style w:type="paragraph" w:styleId="Heading1">
    <w:name w:val="heading 1"/>
    <w:next w:val="Heading2"/>
    <w:link w:val="1"/>
    <w:uiPriority w:val="9"/>
    <w:qFormat/>
    <w:rsid w:val="007208F7"/>
    <w:pPr>
      <w:spacing w:after="312" w:afterLines="100"/>
      <w:outlineLvl w:val="0"/>
    </w:pPr>
    <w:rPr>
      <w:rFonts w:ascii="Times New Roman" w:eastAsia="宋体" w:hAnsi="Times New Roman" w:cs="Times New Roman"/>
      <w:sz w:val="21"/>
      <w:szCs w:val="24"/>
      <w:lang w:eastAsia="zh-CN"/>
    </w:rPr>
  </w:style>
  <w:style w:type="paragraph" w:styleId="Heading2">
    <w:name w:val="heading 2"/>
    <w:basedOn w:val="Normal"/>
    <w:next w:val="Normal0"/>
    <w:link w:val="2"/>
    <w:unhideWhenUsed/>
    <w:qFormat/>
    <w:rsid w:val="007208F7"/>
    <w:pPr>
      <w:keepNext/>
      <w:keepLines/>
      <w:spacing w:before="260" w:after="260" w:line="416" w:lineRule="auto"/>
      <w:outlineLvl w:val="1"/>
    </w:pPr>
    <w:rPr>
      <w:rFonts w:ascii="Cambria" w:eastAsia="宋体" w:hAnsi="Cambria" w:cs="Times New Roman"/>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rFonts w:ascii="Times New Roman" w:eastAsia="宋体" w:hAnsi="Times New Roman" w:cstheme="minorBidi"/>
      <w:sz w:val="18"/>
      <w:szCs w:val="18"/>
      <w14:ligatures w14:val="standardContextual"/>
    </w:rPr>
  </w:style>
  <w:style w:type="paragraph" w:styleId="Header">
    <w:name w:val="header"/>
    <w:basedOn w:val="Normal"/>
    <w:link w:val="a"/>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rFonts w:ascii="Times New Roman" w:eastAsia="宋体" w:hAnsi="Times New Roman"/>
      <w:sz w:val="18"/>
      <w:szCs w:val="18"/>
    </w:rPr>
  </w:style>
  <w:style w:type="paragraph" w:customStyle="1" w:styleId="Normal0">
    <w:name w:val="Normal_0"/>
    <w:qFormat/>
    <w:rsid w:val="00AF4309"/>
    <w:pPr>
      <w:widowControl w:val="0"/>
      <w:jc w:val="both"/>
    </w:pPr>
    <w:rPr>
      <w:rFonts w:ascii="Times New Roman" w:eastAsia="宋体" w:hAnsi="Times New Roman" w:cs="Times New Roman"/>
      <w:kern w:val="2"/>
      <w:sz w:val="21"/>
      <w:szCs w:val="24"/>
      <w:lang w:eastAsia="zh-CN"/>
    </w:rPr>
  </w:style>
  <w:style w:type="character" w:customStyle="1" w:styleId="2">
    <w:name w:val="标题 2 字符"/>
    <w:basedOn w:val="DefaultParagraphFont"/>
    <w:link w:val="Heading2"/>
    <w:uiPriority w:val="9"/>
    <w:qFormat/>
    <w:rsid w:val="007208F7"/>
    <w:rPr>
      <w:rFonts w:ascii="Cambria" w:eastAsia="宋体" w:hAnsi="Cambria" w:cs="Times New Roman"/>
      <w:b/>
      <w:bCs/>
      <w:kern w:val="2"/>
      <w:sz w:val="32"/>
      <w:szCs w:val="32"/>
      <w:lang w:eastAsia="zh-CN"/>
    </w:rPr>
  </w:style>
  <w:style w:type="character" w:customStyle="1" w:styleId="1">
    <w:name w:val="标题 1 字符"/>
    <w:basedOn w:val="DefaultParagraphFont"/>
    <w:link w:val="Heading1"/>
    <w:uiPriority w:val="9"/>
    <w:qFormat/>
    <w:rsid w:val="007208F7"/>
    <w:rPr>
      <w:rFonts w:ascii="Times New Roman" w:eastAsia="宋体" w:hAnsi="Times New Roman" w:cs="Times New Roman"/>
      <w:sz w:val="21"/>
      <w:szCs w:val="24"/>
      <w:lang w:eastAsia="zh-CN"/>
    </w:rPr>
  </w:style>
  <w:style w:type="paragraph" w:customStyle="1" w:styleId="Footer0">
    <w:name w:val="Footer_0"/>
    <w:basedOn w:val="Normal"/>
    <w:link w:val="0"/>
    <w:uiPriority w:val="99"/>
    <w:qFormat/>
    <w:pPr>
      <w:tabs>
        <w:tab w:val="center" w:pos="4153"/>
        <w:tab w:val="right" w:pos="8306"/>
      </w:tabs>
      <w:snapToGrid w:val="0"/>
      <w:jc w:val="left"/>
    </w:pPr>
    <w:rPr>
      <w:sz w:val="18"/>
      <w:szCs w:val="18"/>
    </w:rPr>
  </w:style>
  <w:style w:type="character" w:customStyle="1" w:styleId="0">
    <w:name w:val="页脚 字符_0"/>
    <w:basedOn w:val="DefaultParagraphFont"/>
    <w:link w:val="Footer0"/>
    <w:uiPriority w:val="99"/>
    <w:qFormat/>
    <w:rPr>
      <w:rFonts w:ascii="Times New Roman" w:eastAsia="宋体" w:hAnsi="Times New Roman" w:cs="Times New Roman"/>
      <w:kern w:val="2"/>
      <w:sz w:val="18"/>
      <w:szCs w:val="18"/>
      <w:lang w:eastAsia="zh-CN"/>
    </w:rPr>
  </w:style>
  <w:style w:type="paragraph" w:customStyle="1" w:styleId="10">
    <w:name w:val="1级标题"/>
    <w:basedOn w:val="Normal"/>
    <w:link w:val="11"/>
    <w:qFormat/>
    <w:rsid w:val="00C55CAA"/>
    <w:pPr>
      <w:numPr>
        <w:numId w:val="1"/>
      </w:numPr>
      <w:spacing w:after="312" w:afterLines="100"/>
    </w:pPr>
    <w:rPr>
      <w:sz w:val="24"/>
    </w:rPr>
  </w:style>
  <w:style w:type="paragraph" w:customStyle="1" w:styleId="20">
    <w:name w:val="2级标题"/>
    <w:basedOn w:val="Normal"/>
    <w:link w:val="21"/>
    <w:qFormat/>
    <w:rsid w:val="00C55CAA"/>
    <w:pPr>
      <w:numPr>
        <w:ilvl w:val="1"/>
        <w:numId w:val="1"/>
      </w:numPr>
      <w:tabs>
        <w:tab w:val="left" w:pos="992"/>
      </w:tabs>
      <w:spacing w:after="312" w:afterLines="100"/>
    </w:pPr>
    <w:rPr>
      <w:sz w:val="24"/>
    </w:rPr>
  </w:style>
  <w:style w:type="character" w:customStyle="1" w:styleId="21">
    <w:name w:val="2级标题 字符"/>
    <w:basedOn w:val="DefaultParagraphFont"/>
    <w:link w:val="20"/>
    <w:rsid w:val="00C55CAA"/>
    <w:rPr>
      <w:rFonts w:ascii="Times New Roman" w:eastAsia="宋体" w:hAnsi="Times New Roman" w:cs="Times New Roman"/>
      <w:kern w:val="2"/>
      <w:sz w:val="24"/>
      <w:szCs w:val="24"/>
      <w:lang w:eastAsia="zh-CN"/>
    </w:rPr>
  </w:style>
  <w:style w:type="paragraph" w:customStyle="1" w:styleId="3">
    <w:name w:val="3级标题"/>
    <w:basedOn w:val="Normal"/>
    <w:link w:val="30"/>
    <w:qFormat/>
    <w:rsid w:val="00C55CAA"/>
    <w:pPr>
      <w:numPr>
        <w:ilvl w:val="2"/>
        <w:numId w:val="1"/>
      </w:numPr>
      <w:tabs>
        <w:tab w:val="left" w:pos="992"/>
        <w:tab w:val="left" w:pos="1701"/>
      </w:tabs>
      <w:spacing w:after="312" w:afterLines="100"/>
    </w:pPr>
    <w:rPr>
      <w:sz w:val="24"/>
    </w:rPr>
  </w:style>
  <w:style w:type="character" w:customStyle="1" w:styleId="30">
    <w:name w:val="3级标题 字符"/>
    <w:basedOn w:val="DefaultParagraphFont"/>
    <w:link w:val="3"/>
    <w:qFormat/>
    <w:rsid w:val="00C55CAA"/>
    <w:rPr>
      <w:rFonts w:ascii="Times New Roman" w:eastAsia="宋体" w:hAnsi="Times New Roman" w:cs="Times New Roman"/>
      <w:kern w:val="2"/>
      <w:sz w:val="24"/>
      <w:szCs w:val="24"/>
      <w:lang w:eastAsia="zh-CN"/>
    </w:rPr>
  </w:style>
  <w:style w:type="paragraph" w:customStyle="1" w:styleId="4">
    <w:name w:val="4级标题"/>
    <w:basedOn w:val="Normal"/>
    <w:link w:val="40"/>
    <w:qFormat/>
    <w:rsid w:val="00C55CAA"/>
    <w:pPr>
      <w:numPr>
        <w:ilvl w:val="3"/>
        <w:numId w:val="1"/>
      </w:numPr>
      <w:tabs>
        <w:tab w:val="left" w:pos="0"/>
        <w:tab w:val="left" w:pos="1418"/>
        <w:tab w:val="num" w:pos="1559"/>
      </w:tabs>
      <w:spacing w:after="312" w:afterLines="100"/>
    </w:pPr>
    <w:rPr>
      <w:bCs/>
      <w:sz w:val="24"/>
    </w:rPr>
  </w:style>
  <w:style w:type="character" w:customStyle="1" w:styleId="40">
    <w:name w:val="4级标题 字符"/>
    <w:basedOn w:val="DefaultParagraphFont"/>
    <w:link w:val="4"/>
    <w:rsid w:val="00C55CAA"/>
    <w:rPr>
      <w:rFonts w:ascii="Times New Roman" w:eastAsia="宋体" w:hAnsi="Times New Roman" w:cs="Times New Roman"/>
      <w:bCs/>
      <w:kern w:val="2"/>
      <w:sz w:val="24"/>
      <w:szCs w:val="24"/>
      <w:lang w:eastAsia="zh-CN"/>
    </w:rPr>
  </w:style>
  <w:style w:type="character" w:customStyle="1" w:styleId="11">
    <w:name w:val="1级标题 字符"/>
    <w:basedOn w:val="DefaultParagraphFont"/>
    <w:link w:val="10"/>
    <w:rsid w:val="00C55CAA"/>
    <w:rPr>
      <w:rFonts w:ascii="Times New Roman" w:eastAsia="宋体" w:hAnsi="Times New Roman" w:cs="Times New Roman"/>
      <w:kern w:val="2"/>
      <w:sz w:val="24"/>
      <w:szCs w:val="24"/>
      <w:lang w:eastAsia="zh-CN"/>
    </w:rPr>
  </w:style>
  <w:style w:type="paragraph" w:customStyle="1" w:styleId="a1">
    <w:name w:val="表格页眉"/>
    <w:basedOn w:val="Normal"/>
    <w:link w:val="Char"/>
    <w:qFormat/>
    <w:rsid w:val="00EC3A1D"/>
    <w:pPr>
      <w:adjustRightInd w:val="0"/>
      <w:snapToGrid w:val="0"/>
      <w:jc w:val="center"/>
    </w:pPr>
    <w:rPr>
      <w:rFonts w:eastAsia="宋体" w:cs="Times New Roman"/>
      <w:b/>
      <w:noProof/>
      <w:szCs w:val="18"/>
    </w:rPr>
  </w:style>
  <w:style w:type="character" w:customStyle="1" w:styleId="Char">
    <w:name w:val="表格页眉 Char"/>
    <w:basedOn w:val="DefaultParagraphFont"/>
    <w:link w:val="a1"/>
    <w:qFormat/>
    <w:rsid w:val="00EC3A1D"/>
    <w:rPr>
      <w:rFonts w:ascii="Times New Roman" w:eastAsia="宋体" w:hAnsi="Times New Roman" w:cs="Times New Roman"/>
      <w:b/>
      <w:noProof/>
      <w:kern w:val="2"/>
      <w:sz w:val="21"/>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image" Target="media/image5.wmf" /><Relationship Id="rId13" Type="http://schemas.openxmlformats.org/officeDocument/2006/relationships/oleObject" Target="embeddings/oleObject1.bin" /><Relationship Id="rId14" Type="http://schemas.openxmlformats.org/officeDocument/2006/relationships/oleObject" Target="embeddings/oleObject2.bin" /><Relationship Id="rId15" Type="http://schemas.openxmlformats.org/officeDocument/2006/relationships/image" Target="media/image6.png"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header4.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A7E30CC-278F-4BED-9E8E-4BC9A9C5AC9D}">
  <ds:schemaRefs/>
</ds:datastoreItem>
</file>

<file path=docProps/app.xml><?xml version="1.0" encoding="utf-8"?>
<Properties xmlns="http://schemas.openxmlformats.org/officeDocument/2006/extended-properties" xmlns:vt="http://schemas.openxmlformats.org/officeDocument/2006/docPropsVTypes">
  <Template>Normal.dotm</Template>
  <TotalTime>2913</TotalTime>
  <Pages>1</Pages>
  <Words>60</Words>
  <Characters>539</Characters>
  <Application>Microsoft Office Word</Application>
  <DocSecurity>8</DocSecurity>
  <Lines>4</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hu</dc:creator>
  <cp:lastModifiedBy>企业用户_511353465</cp:lastModifiedBy>
  <cp:revision>25</cp:revision>
  <dcterms:created xsi:type="dcterms:W3CDTF">2024-06-17T01:54:00Z</dcterms:created>
  <dcterms:modified xsi:type="dcterms:W3CDTF">2024-08-21T09:01:44Z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F6E07E6121934482BD5CFC047B741E31_12</vt:lpwstr>
  </property>
  <property fmtid="{D5CDD505-2E9C-101B-9397-08002B2CF9AE}" pid="3" name="KSOProductBuildVer">
    <vt:lpwstr>2052-12.1.0.17147</vt:lpwstr>
  </property>
</Properties>
</file>